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prevé superar los 30.000 millones de euros en ingresos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14/03/2014 MAPFRE prevé superar los 30.000 millones de euros en ingresos en 2016</w:t>
            </w:r>
          </w:p>
          <w:p>
            <w:pPr>
              <w:ind w:left="-284" w:right="-427"/>
              <w:jc w:val="both"/>
              <w:rPr>
                <w:rFonts/>
                <w:color w:val="262626" w:themeColor="text1" w:themeTint="D9"/>
              </w:rPr>
            </w:pPr>
            <w:r>
              <w:t>		Alcanza un acuerdo de prestación de servicios y reaseguro con el mayor grupo asegurador chino, PICC China Group, en los ramos de Vida, Accidentes, Salud y Viaje.</w:t>
            </w:r>
          </w:p>
          <w:p>
            <w:pPr>
              <w:ind w:left="-284" w:right="-427"/>
              <w:jc w:val="both"/>
              <w:rPr>
                <w:rFonts/>
                <w:color w:val="262626" w:themeColor="text1" w:themeTint="D9"/>
              </w:rPr>
            </w:pPr>
            <w:r>
              <w:t>		 MAPFRE iniciará la venta de seguros online en EE.UU. y ampliará su presencia a 20 Estados en los próximos tres años. </w:t>
            </w:r>
          </w:p>
          <w:p>
            <w:pPr>
              <w:ind w:left="-284" w:right="-427"/>
              <w:jc w:val="both"/>
              <w:rPr>
                <w:rFonts/>
                <w:color w:val="262626" w:themeColor="text1" w:themeTint="D9"/>
              </w:rPr>
            </w:pPr>
            <w:r>
              <w:t>		Contempla mantener el ratio combinado por debajo del 96 por ciento, gracias a un plan de contención de costes que permitirá una reducción sustancial de los gastos internos. </w:t>
            </w:r>
          </w:p>
          <w:p>
            <w:pPr>
              <w:ind w:left="-284" w:right="-427"/>
              <w:jc w:val="both"/>
              <w:rPr>
                <w:rFonts/>
                <w:color w:val="262626" w:themeColor="text1" w:themeTint="D9"/>
              </w:rPr>
            </w:pPr>
            <w:r>
              <w:t>		El dividendo con cargo a resultados de 2013 crece un 18 por ciento. </w:t>
            </w:r>
          </w:p>
          <w:p>
            <w:pPr>
              <w:ind w:left="-284" w:right="-427"/>
              <w:jc w:val="both"/>
              <w:rPr>
                <w:rFonts/>
                <w:color w:val="262626" w:themeColor="text1" w:themeTint="D9"/>
              </w:rPr>
            </w:pPr>
            <w:r>
              <w:t>	La Junta de Accionistas de MAPFRE ha aprobado hoy, 14 de marzo de 2014, las cuentas del Grupo y la propuesta de repartir un dividendo total de 0,13 euros por acción, lo que representa un incremento del 18 por ciento respecto al pagado con cargo a los resultados de 2012. Los accionistas también han otorgado un respaldo mayoritario al resto de acuerdos votados en la junta general.</w:t>
            </w:r>
          </w:p>
          <w:p>
            <w:pPr>
              <w:ind w:left="-284" w:right="-427"/>
              <w:jc w:val="both"/>
              <w:rPr>
                <w:rFonts/>
                <w:color w:val="262626" w:themeColor="text1" w:themeTint="D9"/>
              </w:rPr>
            </w:pPr>
            <w:r>
              <w:t>	En su intervención, el Presidente de MAPFRE, Antonio Huertas, ha avanzado los objetivos estratégicos para los próximos tres años, entre los que destacan la previsión de superar los 30.000 millones de euros en ingresos y el mantenimiento del ratio combinado del Grupo por debajo del 96 por ciento y del dividendo en los niveles actuales de rentabilidad. Estos objetivos son compatibles con un plan de contención de costes que permitirá reducir los gastos internos del Grupo.</w:t>
            </w:r>
          </w:p>
          <w:p>
            <w:pPr>
              <w:ind w:left="-284" w:right="-427"/>
              <w:jc w:val="both"/>
              <w:rPr>
                <w:rFonts/>
                <w:color w:val="262626" w:themeColor="text1" w:themeTint="D9"/>
              </w:rPr>
            </w:pPr>
            <w:r>
              <w:t>	MAPFRE, que opera en la actualidad en 47 países, tiene como objetivo consolidar su liderazgo en aquellas regiones en las que ya tiene una presencia destacada y avanzar en el desarrollo de los mercados norteamericano, europeo y asiático, que se convierten en áreas estratégicas para los próximos años.</w:t>
            </w:r>
          </w:p>
          <w:p>
            <w:pPr>
              <w:ind w:left="-284" w:right="-427"/>
              <w:jc w:val="both"/>
              <w:rPr>
                <w:rFonts/>
                <w:color w:val="262626" w:themeColor="text1" w:themeTint="D9"/>
              </w:rPr>
            </w:pPr>
            <w:r>
              <w:t>	En este sentido, y en relación con Asia, Antonio Huertas avanzó que MAPFRE ha llegado a un acuerdo con el mayor grupo asegurador chino, PICC China Group, para la distribución de seguros de Vida, Accidentes, Salud y Viaje. Con esta alianza se refuerza la relación con el mayor asegurador chino, con el que MAPFRE ya colabora en algunos programas de garantía al automóvil, y se da un paso importante en el desarrollo de MAPFRE en este mercado de enorme potencial. Por otro lado comenzaremos con los planes para el desarrollo del seguro obligatorio de Automóviles en China.</w:t>
            </w:r>
          </w:p>
          <w:p>
            <w:pPr>
              <w:ind w:left="-284" w:right="-427"/>
              <w:jc w:val="both"/>
              <w:rPr>
                <w:rFonts/>
                <w:color w:val="262626" w:themeColor="text1" w:themeTint="D9"/>
              </w:rPr>
            </w:pPr>
            <w:r>
              <w:t>	En Estados Unidos, MAPFRE opera ya en 16 Estados y en la actualidad está desarrollando su red comercial y de servicio en Pensilvania, y en los próximos años empezará a operar en tres Estados más: en 2015 en Illinois, y en 2016 en Virginia y Wisconsin, hasta extender la presencia de MAPFRE a un total de 20 Estados. Además, en los próximos meses de este año, el Grupo lanzará una nueva filial de seguros de Vida, especializada en productos de riesgo; potenciará la búsqueda de nuevas redes de distribución, incluyendo la apertura de oficinas propias, y desarrollará una plataforma online para la venta directa de seguros en 2015.</w:t>
            </w:r>
          </w:p>
          <w:p>
            <w:pPr>
              <w:ind w:left="-284" w:right="-427"/>
              <w:jc w:val="both"/>
              <w:rPr>
                <w:rFonts/>
                <w:color w:val="262626" w:themeColor="text1" w:themeTint="D9"/>
              </w:rPr>
            </w:pPr>
            <w:r>
              <w:t>	El Grupo aspira a dar también un salto relevante en EMEA (región en la que no se incluye España) y duplicar su volumen de negocio en los próximos cinco años en esta zona, prestando especial atención a las oportunidades de crecimiento en los países de centro y este de Europa y en los de la cuenca mediterránea.</w:t>
            </w:r>
          </w:p>
          <w:p>
            <w:pPr>
              <w:ind w:left="-284" w:right="-427"/>
              <w:jc w:val="both"/>
              <w:rPr>
                <w:rFonts/>
                <w:color w:val="262626" w:themeColor="text1" w:themeTint="D9"/>
              </w:rPr>
            </w:pPr>
            <w:r>
              <w:t>	Respecto a Latinoamérica, en Brasil, el Grupo seguirá creciendo de forma significativa, apoyado en la alianza con Banco do Brasil y la importante presencia territorial de MAPFRE, a través de oficinas propias y corredores. En México, otro de los mercados estratégicos para MAPFRE y con perspectivas muy positivas en el largo plazo, el Grupo redoblará sus esfuerzos para aumentar la distribución multicanal. Por último, en el Área LATAM Sur, los objetivos de MAPFRE son apostar por el crecimiento orgánico, ganar cuota de mercado en todos los países y fortalecer las redes propias de distribución.</w:t>
            </w:r>
          </w:p>
          <w:p>
            <w:pPr>
              <w:ind w:left="-284" w:right="-427"/>
              <w:jc w:val="both"/>
              <w:rPr>
                <w:rFonts/>
                <w:color w:val="262626" w:themeColor="text1" w:themeTint="D9"/>
              </w:rPr>
            </w:pPr>
            <w:r>
              <w:t>	En el Área Regional Iberia (España y Portugal), MAPFRE encabezará la recuperación del sector asegurador en los próximos años, con un crecimiento en primas superior al del sector en los ramos principales, reforzando así su liderazgo en España.</w:t>
            </w:r>
          </w:p>
          <w:p>
            <w:pPr>
              <w:ind w:left="-284" w:right="-427"/>
              <w:jc w:val="both"/>
              <w:rPr>
                <w:rFonts/>
                <w:color w:val="262626" w:themeColor="text1" w:themeTint="D9"/>
              </w:rPr>
            </w:pPr>
            <w:r>
              <w:t>	MAPFRE incrementó en 2013 su beneficio atribuible un 18,7 por ciento, hasta los 790,5 millones de euros, y los ingresos superaron los 25.889 millones de euros, un 2,3 por ciento más que en 2012.</w:t>
            </w:r>
          </w:p>
          <w:p>
            <w:pPr>
              <w:ind w:left="-284" w:right="-427"/>
              <w:jc w:val="both"/>
              <w:rPr>
                <w:rFonts/>
                <w:color w:val="262626" w:themeColor="text1" w:themeTint="D9"/>
              </w:rPr>
            </w:pPr>
            <w:r>
              <w:t>			Archivos adjuntos</w:t>
            </w:r>
          </w:p>
          <w:p>
            <w:pPr>
              <w:ind w:left="-284" w:right="-427"/>
              <w:jc w:val="both"/>
              <w:rPr>
                <w:rFonts/>
                <w:color w:val="262626" w:themeColor="text1" w:themeTint="D9"/>
              </w:rPr>
            </w:pPr>
            <w:r>
              <w:t>		Press release Annual General Meeting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https://www.notasdeprensa.es/mapfre-preve-superar-los-30-000-millones-de_1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