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lanza PUENTE GARANTÍA 4 un fondo de inversión vinculado a la evolución de las 600 mejores empresas europeas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MAPFRE lanza al mercado el fondo de inversión PUENTE GARANTÍA 4, un producto garantizado cuyo rendimiento está vinculado a la evolución del índice STOXX EUROPE 600 en el que se integran las 600 mejores compañías de 18 países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fondo garantiza al vencimiento el cien por cien del capital invertido y una rentabilidad adicional igual al 70 por ciento de la revalorización media mensual de dicho índice durante el periodo de la garantía, que comprende desde el 12 de mayo de 2014 hasta el 12 de marzo de 2019.</w:t>
            </w:r>
          </w:p>
          <w:p>
            <w:pPr>
              <w:ind w:left="-284" w:right="-427"/>
              <w:jc w:val="both"/>
              <w:rPr>
                <w:rFonts/>
                <w:color w:val="262626" w:themeColor="text1" w:themeTint="D9"/>
              </w:rPr>
            </w:pPr>
            <w:r>
              <w:t>	El producto ofrece la posibilidad de disponer del ahorro acumulado antes de la fecha del vencimiento, sin comisión de reembolso, gracias a las ventanas semestrales de liquidez establecidas a partir de septiembre de 2016.</w:t>
            </w:r>
          </w:p>
          <w:p>
            <w:pPr>
              <w:ind w:left="-284" w:right="-427"/>
              <w:jc w:val="both"/>
              <w:rPr>
                <w:rFonts/>
                <w:color w:val="262626" w:themeColor="text1" w:themeTint="D9"/>
              </w:rPr>
            </w:pPr>
            <w:r>
              <w:t>	MAPFRE PUENTE GARANTÍA 4 podrá contratarse hasta el próximo 6 de mayo o hasta agotar existencias en cualquiera de las más de 3.100 oficinas del 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https://www.notasdeprensa.es/mapfre-lanza-puente-garantia-4-un-fondo-de_1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