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lanza Garantía 18, un seguro de ahorro con rentabilidad garantizada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inicia 2014 con el lanzamiento de GARANTÍA 18, un seguro de Ahorro a Prima Única que ofrece rentabilidad garantizada y que está vinculado a la evolución del Euríbor a tres meses. Este producto, a cinco años, tiene un rendimiento muy atractivo en un contexto como el actual con tipos de interés en mínimos históricos.</w:t>
            </w:r>
          </w:p>
          <w:p>
            <w:pPr>
              <w:ind w:left="-284" w:right="-427"/>
              <w:jc w:val="both"/>
              <w:rPr>
                <w:rFonts/>
                <w:color w:val="262626" w:themeColor="text1" w:themeTint="D9"/>
              </w:rPr>
            </w:pPr>
            <w:r>
              <w:t>	GARANTÍA 18 presenta mayor rentabilidad para los asegurados más jóvenes y puede alcanzar al vencimiento, en marzo de 2019, un rendimiento mínimo acumulado del 18 por ciento. Ofrece un interés efectivo anual mínimo del 3,36 por ciento que puede llegar hasta el 3,92 por ciento, según la edad del asegurado y la evolución del Euríbor a tres meses.</w:t>
            </w:r>
          </w:p>
          <w:p>
            <w:pPr>
              <w:ind w:left="-284" w:right="-427"/>
              <w:jc w:val="both"/>
              <w:rPr>
                <w:rFonts/>
                <w:color w:val="262626" w:themeColor="text1" w:themeTint="D9"/>
              </w:rPr>
            </w:pPr>
            <w:r>
              <w:t>	Este producto cuenta, además, con ventanas trimestrales de liquidez, lo que permite disponer del ahorro acumulado antes de la fecha de vencimiento, si fuera necesario. Ofrece también cobertura de fallecimiento para el asegurado, con una indemnización para el beneficiario de hasta 30.000 euros. Esta prestación se puede aumentar significativamente mediante la contratación de un seguro de Vida adicional.</w:t>
            </w:r>
          </w:p>
          <w:p>
            <w:pPr>
              <w:ind w:left="-284" w:right="-427"/>
              <w:jc w:val="both"/>
              <w:rPr>
                <w:rFonts/>
                <w:color w:val="262626" w:themeColor="text1" w:themeTint="D9"/>
              </w:rPr>
            </w:pPr>
            <w:r>
              <w:t>	GARANTÍA 18 se puede contratar hasta el próximo 14 de marzo (o hasta fin de existencias) en cualquiera de las más de 3.000 oficinas que el Grupo tiene repartidas por todo el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https://www.notasdeprensa.es/mapfre-lanza-garantia-18-un-seguro-de-ahorro_1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