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11/02/2014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MAPFRE incrementa su beneficio un 18,7%, hasta 790,5 millones de euros e ingresa 25.889 millones (+2,3%) en 2013</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Presentación de resultados 2013 Antonio Huertas y Esteban Tejera Fecha: 11/02/2014 MAPFRE incrementa su beneficio un 18,7%, hasta 790,5 millones de euros e ingresa 25.889 millones (+2,3%) en 2013</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Las primas crecen un 1,2 por ciento, hasta 21.835,5 millones.</w:t>
            </w:r>
          </w:p>
          <w:p>
            <w:pPr>
              <w:ind w:left="-284" w:right="-427"/>
              <w:jc w:val="both"/>
              <w:rPr>
                <w:rFonts/>
                <w:color w:val="262626" w:themeColor="text1" w:themeTint="D9"/>
              </w:rPr>
            </w:pPr>
            <w:r>
              <w:t>		El negocio internacional aporta más del 72 por ciento de las primas y el 64 por ciento de los beneficios.</w:t>
            </w:r>
          </w:p>
          <w:p>
            <w:pPr>
              <w:ind w:left="-284" w:right="-427"/>
              <w:jc w:val="both"/>
              <w:rPr>
                <w:rFonts/>
                <w:color w:val="262626" w:themeColor="text1" w:themeTint="D9"/>
              </w:rPr>
            </w:pPr>
            <w:r>
              <w:t>		En España, el ahorro total gestionado se sitúa en 27.903 millones de euros, con crecimiento del 6,2 por ciento, el doble que el registrado por el sector. </w:t>
            </w:r>
          </w:p>
          <w:p>
            <w:pPr>
              <w:ind w:left="-284" w:right="-427"/>
              <w:jc w:val="both"/>
              <w:rPr>
                <w:rFonts/>
                <w:color w:val="262626" w:themeColor="text1" w:themeTint="D9"/>
              </w:rPr>
            </w:pPr>
            <w:r>
              <w:t>		Las inversiones en España se han revalorizado en aproximadamente 1.400 millones de euros, principalmente por el incremento del valor de la deuda pública, generando a su vez un crecimiento del patrimonio neto  de 285 millones de euros. </w:t>
            </w:r>
          </w:p>
          <w:p>
            <w:pPr>
              <w:ind w:left="-284" w:right="-427"/>
              <w:jc w:val="both"/>
              <w:rPr>
                <w:rFonts/>
                <w:color w:val="262626" w:themeColor="text1" w:themeTint="D9"/>
              </w:rPr>
            </w:pPr>
            <w:r>
              <w:t>		El ratio de gastos en España disminuye, a pesar de la caída de las primas, gracias al importante esfuerzo de reducción de gastos internos, que se ha traducido en un ahorro de 48 millones de euros.  </w:t>
            </w:r>
          </w:p>
          <w:p>
            <w:pPr>
              <w:ind w:left="-284" w:right="-427"/>
              <w:jc w:val="both"/>
              <w:rPr>
                <w:rFonts/>
                <w:color w:val="262626" w:themeColor="text1" w:themeTint="D9"/>
              </w:rPr>
            </w:pPr>
            <w:r>
              <w:t>		El Grupo incrementa el dividendo con cargo a los resultados del ejercicio 2013 un 18 por ciento y abonará 0,13 euros por acción. </w:t>
            </w:r>
          </w:p>
          <w:p>
            <w:pPr>
              <w:ind w:left="-284" w:right="-427"/>
              <w:jc w:val="both"/>
              <w:rPr>
                <w:rFonts/>
                <w:color w:val="262626" w:themeColor="text1" w:themeTint="D9"/>
              </w:rPr>
            </w:pPr>
            <w:r>
              <w:t>	El Presidente de MAPFRE, Antonio Huertas, ha presentado el 11 de febrero los resultados del Grupo, que ha incrementado su beneficio atribuible un 18,7 por ciento, hasta los 790,5 millones de euros, gracias a la diversificación geográfica del negocio, lo que contribuye a reforzar la solidez de la compañía. Los ingresos han superado los 25.889 millones de euros, un 2,3 por ciento más que en 2012, y las primas han crecido un 1,2 por ciento, hasta los 21.835,5 millones de euros.</w:t>
            </w:r>
          </w:p>
          <w:p>
            <w:pPr>
              <w:ind w:left="-284" w:right="-427"/>
              <w:jc w:val="both"/>
              <w:rPr>
                <w:rFonts/>
                <w:color w:val="262626" w:themeColor="text1" w:themeTint="D9"/>
              </w:rPr>
            </w:pPr>
            <w:r>
              <w:t>	El ejercicio se ha caracterizado por la apreciación del euro frente al resto de las divisas. Sin ese efecto, las primas habrían crecido un 8,1 por ciento y los resultados, un 26,3 por ciento.</w:t>
            </w:r>
          </w:p>
          <w:p>
            <w:pPr>
              <w:ind w:left="-284" w:right="-427"/>
              <w:jc w:val="both"/>
              <w:rPr>
                <w:rFonts/>
                <w:color w:val="262626" w:themeColor="text1" w:themeTint="D9"/>
              </w:rPr>
            </w:pPr>
            <w:r>
              <w:t>	Los fondos propios, por su parte, se situaron en 7.833,5 millones, con un incremento del 0,3 por ciento, y los activos totales gestionados ascendieron a 66.048 millones, lo que supone un incremento del 2,2 por ciento en los últimos doce meses.</w:t>
            </w:r>
          </w:p>
          <w:p>
            <w:pPr>
              <w:ind w:left="-284" w:right="-427"/>
              <w:jc w:val="both"/>
              <w:rPr>
                <w:rFonts/>
                <w:color w:val="262626" w:themeColor="text1" w:themeTint="D9"/>
              </w:rPr>
            </w:pPr>
            <w:r>
              <w:t>	“Son unos resultados muy positivos teniendo en cuenta el entorno nacional e internacional en el que se han producido, lo cual demuestra no solo la solidez de MAPFRE sino sobre todo la capacidad de adaptación que el Grupo ha tenido en los mercados en los que está presente.”, ha señalado Antonio Huertas, quien además manifestó que “MAPFRE hoy está en la mejor posición para liderar también la recuperación económica”.</w:t>
            </w:r>
          </w:p>
          <w:p>
            <w:pPr>
              <w:ind w:left="-284" w:right="-427"/>
              <w:jc w:val="both"/>
              <w:rPr>
                <w:rFonts/>
                <w:color w:val="262626" w:themeColor="text1" w:themeTint="D9"/>
              </w:rPr>
            </w:pPr>
            <w:r>
              <w:t>	1.- Evolución del negocio:</w:t>
            </w:r>
          </w:p>
          <w:p>
            <w:pPr>
              <w:ind w:left="-284" w:right="-427"/>
              <w:jc w:val="both"/>
              <w:rPr>
                <w:rFonts/>
                <w:color w:val="262626" w:themeColor="text1" w:themeTint="D9"/>
              </w:rPr>
            </w:pPr>
            <w:r>
              <w:t>	? El negocio de la División de Seguros España y Portugal, que aporta el 29,1 por ciento de las primas totales, ha alcanzado los 6.844,4 millones de euros. En España, donde MAPFRE es líder absoluto del sector, las primas ascendieron a 6.707,7 millones de euros.</w:t>
            </w:r>
          </w:p>
          <w:p>
            <w:pPr>
              <w:ind w:left="-284" w:right="-427"/>
              <w:jc w:val="both"/>
              <w:rPr>
                <w:rFonts/>
                <w:color w:val="262626" w:themeColor="text1" w:themeTint="D9"/>
              </w:rPr>
            </w:pPr>
            <w:r>
              <w:t>		 Las primas No Vida en España han superado los 4.199,5 millones de euros en un contexto marcado por la fuerte contracción del mercado asegurador y por una gran presión competitiva, sobre todo en el negocio de Automóviles, en el que las primas de MAPFRE ascendieron a 2.056,4 millones y la cuota de mercado se situó en el 20,5 por ciento.</w:t>
            </w:r>
          </w:p>
          <w:p>
            <w:pPr>
              <w:ind w:left="-284" w:right="-427"/>
              <w:jc w:val="both"/>
              <w:rPr>
                <w:rFonts/>
                <w:color w:val="262626" w:themeColor="text1" w:themeTint="D9"/>
              </w:rPr>
            </w:pPr>
            <w:r>
              <w:t>		Las primas de Vida han alcanzado en España los 2.508,4 millones de euros. Es destacable el incremento de los fondos de inversión y carteras gestionadas, que crecen un 19 por ciento, hasta los 3.027,2 millones, y de los fondos de pensiones, que ascienden a 5.372,3 millones (un 5,2 por ciento más que en el año 2012). El ahorro total gestionado se incrementa un 6,2 por ciento, hasta los 27.903 millones de euros, el doble que el registrado por el sector.</w:t>
            </w:r>
          </w:p>
          <w:p>
            <w:pPr>
              <w:ind w:left="-284" w:right="-427"/>
              <w:jc w:val="both"/>
              <w:rPr>
                <w:rFonts/>
                <w:color w:val="262626" w:themeColor="text1" w:themeTint="D9"/>
              </w:rPr>
            </w:pPr>
            <w:r>
              <w:t>		Por otra parte, las inversiones se han revalorizado en aproximadamente 1.400 millones de euros, principalmente por el incremento del valor de nuestra cartera de deuda pública, generando a su vez un crecimiento del patrimonio neto de 285 millones de euros.</w:t>
            </w:r>
          </w:p>
          <w:p>
            <w:pPr>
              <w:ind w:left="-284" w:right="-427"/>
              <w:jc w:val="both"/>
              <w:rPr>
                <w:rFonts/>
                <w:color w:val="262626" w:themeColor="text1" w:themeTint="D9"/>
              </w:rPr>
            </w:pPr>
            <w:r>
              <w:t>		El ratio de gastos en España disminuye, a pesar de la caída de las primas, gracias al importante esfuerzo de reducción de gastos internos, que se ha traducido en un ahorro de 48 millones de euros.  </w:t>
            </w:r>
          </w:p>
          <w:p>
            <w:pPr>
              <w:ind w:left="-284" w:right="-427"/>
              <w:jc w:val="both"/>
              <w:rPr>
                <w:rFonts/>
                <w:color w:val="262626" w:themeColor="text1" w:themeTint="D9"/>
              </w:rPr>
            </w:pPr>
            <w:r>
              <w:t>	? La División de Seguro Internacional, que en 2013 englobaba las actividades aseguradoras fuera de España, ya representa el 48,5 por ciento de las primas totales del Grupo, alcanzan los 11.419 millones de euros, con un crecimiento del 5,4 por ciento.</w:t>
            </w:r>
          </w:p>
          <w:p>
            <w:pPr>
              <w:ind w:left="-284" w:right="-427"/>
              <w:jc w:val="both"/>
              <w:rPr>
                <w:rFonts/>
                <w:color w:val="262626" w:themeColor="text1" w:themeTint="D9"/>
              </w:rPr>
            </w:pPr>
            <w:r>
              <w:t>		En  los países de América Latina, el Grupo ha obtenido un volumen de primas de 8.886,9  millones de euros, un 2,7 por ciento más.</w:t>
            </w:r>
          </w:p>
          <w:p>
            <w:pPr>
              <w:ind w:left="-284" w:right="-427"/>
              <w:jc w:val="both"/>
              <w:rPr>
                <w:rFonts/>
                <w:color w:val="262626" w:themeColor="text1" w:themeTint="D9"/>
              </w:rPr>
            </w:pPr>
            <w:r>
              <w:t>	En Brasil, país que representa el 56,7 por ciento del negocio de MAPFRE en América Latina, las primas crecieron en moneda local un 20,4 por ciento, hasta los 5.036,1 millones de euros. Asimismo, destaca el crecimiento de Colombia (+30,2 por ciento en moneda local), con 713,9 millones de primas, impulsado por el negocio de Vida; y Perú (+20,5 por ciento en moneda local), hasta 311,7 millones, con crecimiento en todos los ramos, especialmente en Salud (+36 por ciento).</w:t>
            </w:r>
          </w:p>
          <w:p>
            <w:pPr>
              <w:ind w:left="-284" w:right="-427"/>
              <w:jc w:val="both"/>
              <w:rPr>
                <w:rFonts/>
                <w:color w:val="262626" w:themeColor="text1" w:themeTint="D9"/>
              </w:rPr>
            </w:pPr>
            <w:r>
              <w:t>		En el resto de países donde el Grupo mantenía operaciones aseguradoras en 2013     -Estados Unidos, Filipinas, Malta, Puerto Rico y Turquía- se ha alcanzado un volumen de primas de 2.532,1 millones de euros, un 15,9 por ciento más que el año anterior.</w:t>
            </w:r>
          </w:p>
          <w:p>
            <w:pPr>
              <w:ind w:left="-284" w:right="-427"/>
              <w:jc w:val="both"/>
              <w:rPr>
                <w:rFonts/>
                <w:color w:val="262626" w:themeColor="text1" w:themeTint="D9"/>
              </w:rPr>
            </w:pPr>
            <w:r>
              <w:t>	Destaca el buen comportamiento de Estados Unidos, con un crecimiento del 5 por ciento en moneda local, hasta los 1.543,2 millones. Además del aumento de la venta de seguros de Hogar en Massachusetts, es significativo el mayor volumen de negocio en el resto de estados en los que MAPFRE está presente, que ya aportan el 24,6 por ciento de todo el negocio del Grupo en Estados Unidos. En Turquía, el incremento de las primas fue del 52,1 por ciento en moneda local, hasta los 536,4 millones de euros, gracias a los fuertes crecimientos de Autos y Salud y la creciente actividad de los ramos industriales, apoyados en la expansión de la red de oficinas. </w:t>
            </w:r>
          </w:p>
          <w:p>
            <w:pPr>
              <w:ind w:left="-284" w:right="-427"/>
              <w:jc w:val="both"/>
              <w:rPr>
                <w:rFonts/>
                <w:color w:val="262626" w:themeColor="text1" w:themeTint="D9"/>
              </w:rPr>
            </w:pPr>
            <w:r>
              <w:t>	? La División de Negocios Globales, que aporta un 22,4 por ciento de las primas del Grupo e integraba en 2013 sus actividades de Reaseguro, Global Risks y Asistencia, ha alcanzado los 5.502,7 millones de euros en primas e ingresos operativos, con un incremento del 12,6 por ciento sobre el ejercicio precedente. </w:t>
            </w:r>
          </w:p>
          <w:p>
            <w:pPr>
              <w:ind w:left="-284" w:right="-427"/>
              <w:jc w:val="both"/>
              <w:rPr>
                <w:rFonts/>
                <w:color w:val="262626" w:themeColor="text1" w:themeTint="D9"/>
              </w:rPr>
            </w:pPr>
            <w:r>
              <w:t>		Las primas aceptadas de Reaseguro han alcanzado los 3.253,7 millones de euros, con un incremento del 14,4 por ciento. Destaca el crecimiento del negocio No Vida y las operaciones con empresas diferentes a las del Grupo, que crecieron un 8,9 por ciento.</w:t>
            </w:r>
          </w:p>
          <w:p>
            <w:pPr>
              <w:ind w:left="-284" w:right="-427"/>
              <w:jc w:val="both"/>
              <w:rPr>
                <w:rFonts/>
                <w:color w:val="262626" w:themeColor="text1" w:themeTint="D9"/>
              </w:rPr>
            </w:pPr>
            <w:r>
              <w:t>		Las primas de Global Risks se han incrementado en un 0,3 por ciento, hasta los 1.118,8 millones de euros.</w:t>
            </w:r>
          </w:p>
          <w:p>
            <w:pPr>
              <w:ind w:left="-284" w:right="-427"/>
              <w:jc w:val="both"/>
              <w:rPr>
                <w:rFonts/>
                <w:color w:val="262626" w:themeColor="text1" w:themeTint="D9"/>
              </w:rPr>
            </w:pPr>
            <w:r>
              <w:t>		Los ingresos del negocio de Asistencia (primas e ingresos por servicios) han registrado un incremento del 21,8 por ciento, hasta alcanzar los 1.130,2 millones de euros, apoyado en el crecimiento orgánico en Asia y Europa; y en Estados Unidos gracias al desarrollo de nuevas redes de distribución y a la contribución de los contratos de asistencia con grandes clientes.</w:t>
            </w:r>
          </w:p>
          <w:p>
            <w:pPr>
              <w:ind w:left="-284" w:right="-427"/>
              <w:jc w:val="both"/>
              <w:rPr>
                <w:rFonts/>
                <w:color w:val="262626" w:themeColor="text1" w:themeTint="D9"/>
              </w:rPr>
            </w:pPr>
            <w:r>
              <w:t>	Estos resultados responden a la estructura del Grupo en el año 2013. Como ya se anunció, desde el 1 de enero de este año, MAPFRE se ha dotado de una nuestra estructura para adaptar el Grupo a su dimensión y presencia como aseguradora global de confianza.</w:t>
            </w:r>
          </w:p>
          <w:p>
            <w:pPr>
              <w:ind w:left="-284" w:right="-427"/>
              <w:jc w:val="both"/>
              <w:rPr>
                <w:rFonts/>
                <w:color w:val="262626" w:themeColor="text1" w:themeTint="D9"/>
              </w:rPr>
            </w:pPr>
            <w:r>
              <w:t>	2.- Dividendo:</w:t>
            </w:r>
          </w:p>
          <w:p>
            <w:pPr>
              <w:ind w:left="-284" w:right="-427"/>
              <w:jc w:val="both"/>
              <w:rPr>
                <w:rFonts/>
                <w:color w:val="262626" w:themeColor="text1" w:themeTint="D9"/>
              </w:rPr>
            </w:pPr>
            <w:r>
              <w:t>	El Consejo de Administración ha acordado proponer a la Junta General un dividendo complementario, con cargo a los resultados del ejercicio 2013 de 0,08 euros brutos por acción, lo que supone un incremento del 14,3 por ciento respecto al dividendo complementario del ejercicio anterior.</w:t>
            </w:r>
          </w:p>
          <w:p>
            <w:pPr>
              <w:ind w:left="-284" w:right="-427"/>
              <w:jc w:val="both"/>
              <w:rPr>
                <w:rFonts/>
                <w:color w:val="262626" w:themeColor="text1" w:themeTint="D9"/>
              </w:rPr>
            </w:pPr>
            <w:r>
              <w:t>	De este modo, el dividendo total con cargo a los resultados de 2013 ascenderá a 0,13 euros por acción, un 18 por ciento más que el pagado con cargo a los resultados de 2012.</w:t>
            </w:r>
          </w:p>
          <w:p>
            <w:pPr>
              <w:ind w:left="-284" w:right="-427"/>
              <w:jc w:val="both"/>
              <w:rPr>
                <w:rFonts/>
                <w:color w:val="262626" w:themeColor="text1" w:themeTint="D9"/>
              </w:rPr>
            </w:pPr>
            <w:r>
              <w:t>	3.- Información adicional: </w:t>
            </w:r>
          </w:p>
          <w:p>
            <w:pPr>
              <w:ind w:left="-284" w:right="-427"/>
              <w:jc w:val="both"/>
              <w:rPr>
                <w:rFonts/>
                <w:color w:val="262626" w:themeColor="text1" w:themeTint="D9"/>
              </w:rPr>
            </w:pPr>
            <w:r>
              <w:t>	Los órganos de gobierno de MAPFRE han aprobado los nombramientos de Antonio Huertas como Presidente de FUNDACIÓN MAPFRE y de Antonio Núñez como Vicepresidente Primero de esta Institución. La Vicepresidencia Segunda de FUNDACIÓN MAPFRE seguirá siendo ocupada por Francisco Vallejo.</w:t>
            </w:r>
          </w:p>
          <w:p>
            <w:pPr>
              <w:ind w:left="-284" w:right="-427"/>
              <w:jc w:val="both"/>
              <w:rPr>
                <w:rFonts/>
                <w:color w:val="262626" w:themeColor="text1" w:themeTint="D9"/>
              </w:rPr>
            </w:pPr>
            <w:r>
              <w:t>	PRINCIPALES DATOS CONSOLIDADOS</w:t>
            </w:r>
          </w:p>
          <w:p>
            <w:pPr>
              <w:ind w:left="-284" w:right="-427"/>
              <w:jc w:val="both"/>
              <w:rPr>
                <w:rFonts/>
                <w:color w:val="262626" w:themeColor="text1" w:themeTint="D9"/>
              </w:rPr>
            </w:pPr>
            <w:r>
              <w:t>	Millones €</w:t>
            </w:r>
          </w:p>
          <w:p>
            <w:pPr>
              <w:ind w:left="-284" w:right="-427"/>
              <w:jc w:val="both"/>
              <w:rPr>
                <w:rFonts/>
                <w:color w:val="262626" w:themeColor="text1" w:themeTint="D9"/>
              </w:rPr>
            </w:pPr>
            <w:r>
              <w:t>	% Var.</w:t>
            </w:r>
          </w:p>
          <w:p>
            <w:pPr>
              <w:ind w:left="-284" w:right="-427"/>
              <w:jc w:val="both"/>
              <w:rPr>
                <w:rFonts/>
                <w:color w:val="262626" w:themeColor="text1" w:themeTint="D9"/>
              </w:rPr>
            </w:pPr>
            <w:r>
              <w:t>	Resultados</w:t>
            </w:r>
          </w:p>
          <w:p>
            <w:pPr>
              <w:ind w:left="-284" w:right="-427"/>
              <w:jc w:val="both"/>
              <w:rPr>
                <w:rFonts/>
                <w:color w:val="262626" w:themeColor="text1" w:themeTint="D9"/>
              </w:rPr>
            </w:pPr>
            <w:r>
              <w:t>	2013</w:t>
            </w:r>
          </w:p>
          <w:p>
            <w:pPr>
              <w:ind w:left="-284" w:right="-427"/>
              <w:jc w:val="both"/>
              <w:rPr>
                <w:rFonts/>
                <w:color w:val="262626" w:themeColor="text1" w:themeTint="D9"/>
              </w:rPr>
            </w:pPr>
            <w:r>
              <w:t>	2012</w:t>
            </w:r>
          </w:p>
          <w:p>
            <w:pPr>
              <w:ind w:left="-284" w:right="-427"/>
              <w:jc w:val="both"/>
              <w:rPr>
                <w:rFonts/>
                <w:color w:val="262626" w:themeColor="text1" w:themeTint="D9"/>
              </w:rPr>
            </w:pPr>
            <w:r>
              <w:t>	13 / 12</w:t>
            </w:r>
          </w:p>
          <w:p>
            <w:pPr>
              <w:ind w:left="-284" w:right="-427"/>
              <w:jc w:val="both"/>
              <w:rPr>
                <w:rFonts/>
                <w:color w:val="262626" w:themeColor="text1" w:themeTint="D9"/>
              </w:rPr>
            </w:pPr>
            <w:r>
              <w:t>	PRIMAS EMITIDAS Y ACEPTADAS TOTALES</w:t>
            </w:r>
          </w:p>
          <w:p>
            <w:pPr>
              <w:ind w:left="-284" w:right="-427"/>
              <w:jc w:val="both"/>
              <w:rPr>
                <w:rFonts/>
                <w:color w:val="262626" w:themeColor="text1" w:themeTint="D9"/>
              </w:rPr>
            </w:pPr>
            <w:r>
              <w:t>	21.835,5</w:t>
            </w:r>
          </w:p>
          <w:p>
            <w:pPr>
              <w:ind w:left="-284" w:right="-427"/>
              <w:jc w:val="both"/>
              <w:rPr>
                <w:rFonts/>
                <w:color w:val="262626" w:themeColor="text1" w:themeTint="D9"/>
              </w:rPr>
            </w:pPr>
            <w:r>
              <w:t>	21.579,8</w:t>
            </w:r>
          </w:p>
          <w:p>
            <w:pPr>
              <w:ind w:left="-284" w:right="-427"/>
              <w:jc w:val="both"/>
              <w:rPr>
                <w:rFonts/>
                <w:color w:val="262626" w:themeColor="text1" w:themeTint="D9"/>
              </w:rPr>
            </w:pPr>
            <w:r>
              <w:t>	1,2%</w:t>
            </w:r>
          </w:p>
          <w:p>
            <w:pPr>
              <w:ind w:left="-284" w:right="-427"/>
              <w:jc w:val="both"/>
              <w:rPr>
                <w:rFonts/>
                <w:color w:val="262626" w:themeColor="text1" w:themeTint="D9"/>
              </w:rPr>
            </w:pPr>
            <w:r>
              <w:t>	No Vida</w:t>
            </w:r>
          </w:p>
          <w:p>
            <w:pPr>
              <w:ind w:left="-284" w:right="-427"/>
              <w:jc w:val="both"/>
              <w:rPr>
                <w:rFonts/>
                <w:color w:val="262626" w:themeColor="text1" w:themeTint="D9"/>
              </w:rPr>
            </w:pPr>
            <w:r>
              <w:t>	16.277,7</w:t>
            </w:r>
          </w:p>
          <w:p>
            <w:pPr>
              <w:ind w:left="-284" w:right="-427"/>
              <w:jc w:val="both"/>
              <w:rPr>
                <w:rFonts/>
                <w:color w:val="262626" w:themeColor="text1" w:themeTint="D9"/>
              </w:rPr>
            </w:pPr>
            <w:r>
              <w:t>	15.478,5</w:t>
            </w:r>
          </w:p>
          <w:p>
            <w:pPr>
              <w:ind w:left="-284" w:right="-427"/>
              <w:jc w:val="both"/>
              <w:rPr>
                <w:rFonts/>
                <w:color w:val="262626" w:themeColor="text1" w:themeTint="D9"/>
              </w:rPr>
            </w:pPr>
            <w:r>
              <w:t>	5,2%</w:t>
            </w:r>
          </w:p>
          <w:p>
            <w:pPr>
              <w:ind w:left="-284" w:right="-427"/>
              <w:jc w:val="both"/>
              <w:rPr>
                <w:rFonts/>
                <w:color w:val="262626" w:themeColor="text1" w:themeTint="D9"/>
              </w:rPr>
            </w:pPr>
            <w:r>
              <w:t>	Vida</w:t>
            </w:r>
          </w:p>
          <w:p>
            <w:pPr>
              <w:ind w:left="-284" w:right="-427"/>
              <w:jc w:val="both"/>
              <w:rPr>
                <w:rFonts/>
                <w:color w:val="262626" w:themeColor="text1" w:themeTint="D9"/>
              </w:rPr>
            </w:pPr>
            <w:r>
              <w:t>	5.557,8</w:t>
            </w:r>
          </w:p>
          <w:p>
            <w:pPr>
              <w:ind w:left="-284" w:right="-427"/>
              <w:jc w:val="both"/>
              <w:rPr>
                <w:rFonts/>
                <w:color w:val="262626" w:themeColor="text1" w:themeTint="D9"/>
              </w:rPr>
            </w:pPr>
            <w:r>
              <w:t>	6.101,3</w:t>
            </w:r>
          </w:p>
          <w:p>
            <w:pPr>
              <w:ind w:left="-284" w:right="-427"/>
              <w:jc w:val="both"/>
              <w:rPr>
                <w:rFonts/>
                <w:color w:val="262626" w:themeColor="text1" w:themeTint="D9"/>
              </w:rPr>
            </w:pPr>
            <w:r>
              <w:t>	-8,9%</w:t>
            </w:r>
          </w:p>
          <w:p>
            <w:pPr>
              <w:ind w:left="-284" w:right="-427"/>
              <w:jc w:val="both"/>
              <w:rPr>
                <w:rFonts/>
                <w:color w:val="262626" w:themeColor="text1" w:themeTint="D9"/>
              </w:rPr>
            </w:pPr>
            <w:r>
              <w:t>	INGRESOS TOTALES</w:t>
            </w:r>
          </w:p>
          <w:p>
            <w:pPr>
              <w:ind w:left="-284" w:right="-427"/>
              <w:jc w:val="both"/>
              <w:rPr>
                <w:rFonts/>
                <w:color w:val="262626" w:themeColor="text1" w:themeTint="D9"/>
              </w:rPr>
            </w:pPr>
            <w:r>
              <w:t>	25.889,3</w:t>
            </w:r>
          </w:p>
          <w:p>
            <w:pPr>
              <w:ind w:left="-284" w:right="-427"/>
              <w:jc w:val="both"/>
              <w:rPr>
                <w:rFonts/>
                <w:color w:val="262626" w:themeColor="text1" w:themeTint="D9"/>
              </w:rPr>
            </w:pPr>
            <w:r>
              <w:t>	25.301,2</w:t>
            </w:r>
          </w:p>
          <w:p>
            <w:pPr>
              <w:ind w:left="-284" w:right="-427"/>
              <w:jc w:val="both"/>
              <w:rPr>
                <w:rFonts/>
                <w:color w:val="262626" w:themeColor="text1" w:themeTint="D9"/>
              </w:rPr>
            </w:pPr>
            <w:r>
              <w:t>	2,3%</w:t>
            </w:r>
          </w:p>
          <w:p>
            <w:pPr>
              <w:ind w:left="-284" w:right="-427"/>
              <w:jc w:val="both"/>
              <w:rPr>
                <w:rFonts/>
                <w:color w:val="262626" w:themeColor="text1" w:themeTint="D9"/>
              </w:rPr>
            </w:pPr>
            <w:r>
              <w:t>	RESULTADO ANTES DE IMPUESTOS Y SOCIOS EXTERNOS</w:t>
            </w:r>
          </w:p>
          <w:p>
            <w:pPr>
              <w:ind w:left="-284" w:right="-427"/>
              <w:jc w:val="both"/>
              <w:rPr>
                <w:rFonts/>
                <w:color w:val="262626" w:themeColor="text1" w:themeTint="D9"/>
              </w:rPr>
            </w:pPr>
            <w:r>
              <w:t>	1.563,9</w:t>
            </w:r>
          </w:p>
          <w:p>
            <w:pPr>
              <w:ind w:left="-284" w:right="-427"/>
              <w:jc w:val="both"/>
              <w:rPr>
                <w:rFonts/>
                <w:color w:val="262626" w:themeColor="text1" w:themeTint="D9"/>
              </w:rPr>
            </w:pPr>
            <w:r>
              <w:t>	1.372,0</w:t>
            </w:r>
          </w:p>
          <w:p>
            <w:pPr>
              <w:ind w:left="-284" w:right="-427"/>
              <w:jc w:val="both"/>
              <w:rPr>
                <w:rFonts/>
                <w:color w:val="262626" w:themeColor="text1" w:themeTint="D9"/>
              </w:rPr>
            </w:pPr>
            <w:r>
              <w:t>	14,0%</w:t>
            </w:r>
          </w:p>
          <w:p>
            <w:pPr>
              <w:ind w:left="-284" w:right="-427"/>
              <w:jc w:val="both"/>
              <w:rPr>
                <w:rFonts/>
                <w:color w:val="262626" w:themeColor="text1" w:themeTint="D9"/>
              </w:rPr>
            </w:pPr>
            <w:r>
              <w:t>	RESULTADO DESPUES DE IMPUESTOS Y SOCIOS EXTERNOS</w:t>
            </w:r>
          </w:p>
          <w:p>
            <w:pPr>
              <w:ind w:left="-284" w:right="-427"/>
              <w:jc w:val="both"/>
              <w:rPr>
                <w:rFonts/>
                <w:color w:val="262626" w:themeColor="text1" w:themeTint="D9"/>
              </w:rPr>
            </w:pPr>
            <w:r>
              <w:t>	790,5</w:t>
            </w:r>
          </w:p>
          <w:p>
            <w:pPr>
              <w:ind w:left="-284" w:right="-427"/>
              <w:jc w:val="both"/>
              <w:rPr>
                <w:rFonts/>
                <w:color w:val="262626" w:themeColor="text1" w:themeTint="D9"/>
              </w:rPr>
            </w:pPr>
            <w:r>
              <w:t>	665,7</w:t>
            </w:r>
          </w:p>
          <w:p>
            <w:pPr>
              <w:ind w:left="-284" w:right="-427"/>
              <w:jc w:val="both"/>
              <w:rPr>
                <w:rFonts/>
                <w:color w:val="262626" w:themeColor="text1" w:themeTint="D9"/>
              </w:rPr>
            </w:pPr>
            <w:r>
              <w:t>	18,7%</w:t>
            </w:r>
          </w:p>
          <w:p>
            <w:pPr>
              <w:ind w:left="-284" w:right="-427"/>
              <w:jc w:val="both"/>
              <w:rPr>
                <w:rFonts/>
                <w:color w:val="262626" w:themeColor="text1" w:themeTint="D9"/>
              </w:rPr>
            </w:pPr>
            <w:r>
              <w:t>	BENEFICIO POR ACCIÓN (céntimos de euro)</w:t>
            </w:r>
          </w:p>
          <w:p>
            <w:pPr>
              <w:ind w:left="-284" w:right="-427"/>
              <w:jc w:val="both"/>
              <w:rPr>
                <w:rFonts/>
                <w:color w:val="262626" w:themeColor="text1" w:themeTint="D9"/>
              </w:rPr>
            </w:pPr>
            <w:r>
              <w:t>	0,26</w:t>
            </w:r>
          </w:p>
          <w:p>
            <w:pPr>
              <w:ind w:left="-284" w:right="-427"/>
              <w:jc w:val="both"/>
              <w:rPr>
                <w:rFonts/>
                <w:color w:val="262626" w:themeColor="text1" w:themeTint="D9"/>
              </w:rPr>
            </w:pPr>
            <w:r>
              <w:t>	0,22</w:t>
            </w:r>
          </w:p>
          <w:p>
            <w:pPr>
              <w:ind w:left="-284" w:right="-427"/>
              <w:jc w:val="both"/>
              <w:rPr>
                <w:rFonts/>
                <w:color w:val="262626" w:themeColor="text1" w:themeTint="D9"/>
              </w:rPr>
            </w:pPr>
            <w:r>
              <w:t>	18,7%</w:t>
            </w:r>
          </w:p>
          <w:p>
            <w:pPr>
              <w:ind w:left="-284" w:right="-427"/>
              <w:jc w:val="both"/>
              <w:rPr>
                <w:rFonts/>
                <w:color w:val="262626" w:themeColor="text1" w:themeTint="D9"/>
              </w:rPr>
            </w:pPr>
            <w:r>
              <w:t>	Millones €</w:t>
            </w:r>
          </w:p>
          <w:p>
            <w:pPr>
              <w:ind w:left="-284" w:right="-427"/>
              <w:jc w:val="both"/>
              <w:rPr>
                <w:rFonts/>
                <w:color w:val="262626" w:themeColor="text1" w:themeTint="D9"/>
              </w:rPr>
            </w:pPr>
            <w:r>
              <w:t>	% Var.</w:t>
            </w:r>
          </w:p>
          <w:p>
            <w:pPr>
              <w:ind w:left="-284" w:right="-427"/>
              <w:jc w:val="both"/>
              <w:rPr>
                <w:rFonts/>
                <w:color w:val="262626" w:themeColor="text1" w:themeTint="D9"/>
              </w:rPr>
            </w:pPr>
            <w:r>
              <w:t>	Balance</w:t>
            </w:r>
          </w:p>
          <w:p>
            <w:pPr>
              <w:ind w:left="-284" w:right="-427"/>
              <w:jc w:val="both"/>
              <w:rPr>
                <w:rFonts/>
                <w:color w:val="262626" w:themeColor="text1" w:themeTint="D9"/>
              </w:rPr>
            </w:pPr>
            <w:r>
              <w:t>	2013</w:t>
            </w:r>
          </w:p>
          <w:p>
            <w:pPr>
              <w:ind w:left="-284" w:right="-427"/>
              <w:jc w:val="both"/>
              <w:rPr>
                <w:rFonts/>
                <w:color w:val="262626" w:themeColor="text1" w:themeTint="D9"/>
              </w:rPr>
            </w:pPr>
            <w:r>
              <w:t>	2012</w:t>
            </w:r>
          </w:p>
          <w:p>
            <w:pPr>
              <w:ind w:left="-284" w:right="-427"/>
              <w:jc w:val="both"/>
              <w:rPr>
                <w:rFonts/>
                <w:color w:val="262626" w:themeColor="text1" w:themeTint="D9"/>
              </w:rPr>
            </w:pPr>
            <w:r>
              <w:t>	13 / 12</w:t>
            </w:r>
          </w:p>
          <w:p>
            <w:pPr>
              <w:ind w:left="-284" w:right="-427"/>
              <w:jc w:val="both"/>
              <w:rPr>
                <w:rFonts/>
                <w:color w:val="262626" w:themeColor="text1" w:themeTint="D9"/>
              </w:rPr>
            </w:pPr>
            <w:r>
              <w:t>	ACTIVOS TOTALES</w:t>
            </w:r>
          </w:p>
          <w:p>
            <w:pPr>
              <w:ind w:left="-284" w:right="-427"/>
              <w:jc w:val="both"/>
              <w:rPr>
                <w:rFonts/>
                <w:color w:val="262626" w:themeColor="text1" w:themeTint="D9"/>
              </w:rPr>
            </w:pPr>
            <w:r>
              <w:t>	56.825,8</w:t>
            </w:r>
          </w:p>
          <w:p>
            <w:pPr>
              <w:ind w:left="-284" w:right="-427"/>
              <w:jc w:val="both"/>
              <w:rPr>
                <w:rFonts/>
                <w:color w:val="262626" w:themeColor="text1" w:themeTint="D9"/>
              </w:rPr>
            </w:pPr>
            <w:r>
              <w:t>	56.983,2</w:t>
            </w:r>
          </w:p>
          <w:p>
            <w:pPr>
              <w:ind w:left="-284" w:right="-427"/>
              <w:jc w:val="both"/>
              <w:rPr>
                <w:rFonts/>
                <w:color w:val="262626" w:themeColor="text1" w:themeTint="D9"/>
              </w:rPr>
            </w:pPr>
            <w:r>
              <w:t>	-0,3%</w:t>
            </w:r>
          </w:p>
          <w:p>
            <w:pPr>
              <w:ind w:left="-284" w:right="-427"/>
              <w:jc w:val="both"/>
              <w:rPr>
                <w:rFonts/>
                <w:color w:val="262626" w:themeColor="text1" w:themeTint="D9"/>
              </w:rPr>
            </w:pPr>
            <w:r>
              <w:t>	AHORRO GESTIONADO (1)</w:t>
            </w:r>
          </w:p>
          <w:p>
            <w:pPr>
              <w:ind w:left="-284" w:right="-427"/>
              <w:jc w:val="both"/>
              <w:rPr>
                <w:rFonts/>
                <w:color w:val="262626" w:themeColor="text1" w:themeTint="D9"/>
              </w:rPr>
            </w:pPr>
            <w:r>
              <w:t>	33.614,1</w:t>
            </w:r>
          </w:p>
          <w:p>
            <w:pPr>
              <w:ind w:left="-284" w:right="-427"/>
              <w:jc w:val="both"/>
              <w:rPr>
                <w:rFonts/>
                <w:color w:val="262626" w:themeColor="text1" w:themeTint="D9"/>
              </w:rPr>
            </w:pPr>
            <w:r>
              <w:t>	31.035,1</w:t>
            </w:r>
          </w:p>
          <w:p>
            <w:pPr>
              <w:ind w:left="-284" w:right="-427"/>
              <w:jc w:val="both"/>
              <w:rPr>
                <w:rFonts/>
                <w:color w:val="262626" w:themeColor="text1" w:themeTint="D9"/>
              </w:rPr>
            </w:pPr>
            <w:r>
              <w:t>	8,3%</w:t>
            </w:r>
          </w:p>
          <w:p>
            <w:pPr>
              <w:ind w:left="-284" w:right="-427"/>
              <w:jc w:val="both"/>
              <w:rPr>
                <w:rFonts/>
                <w:color w:val="262626" w:themeColor="text1" w:themeTint="D9"/>
              </w:rPr>
            </w:pPr>
            <w:r>
              <w:t>	FONDOS PROPIOS</w:t>
            </w:r>
          </w:p>
          <w:p>
            <w:pPr>
              <w:ind w:left="-284" w:right="-427"/>
              <w:jc w:val="both"/>
              <w:rPr>
                <w:rFonts/>
                <w:color w:val="262626" w:themeColor="text1" w:themeTint="D9"/>
              </w:rPr>
            </w:pPr>
            <w:r>
              <w:t>	7.833,5</w:t>
            </w:r>
          </w:p>
          <w:p>
            <w:pPr>
              <w:ind w:left="-284" w:right="-427"/>
              <w:jc w:val="both"/>
              <w:rPr>
                <w:rFonts/>
                <w:color w:val="262626" w:themeColor="text1" w:themeTint="D9"/>
              </w:rPr>
            </w:pPr>
            <w:r>
              <w:t>	7.810,5</w:t>
            </w:r>
          </w:p>
          <w:p>
            <w:pPr>
              <w:ind w:left="-284" w:right="-427"/>
              <w:jc w:val="both"/>
              <w:rPr>
                <w:rFonts/>
                <w:color w:val="262626" w:themeColor="text1" w:themeTint="D9"/>
              </w:rPr>
            </w:pPr>
            <w:r>
              <w:t>	0,3%</w:t>
            </w:r>
          </w:p>
          <w:p>
            <w:pPr>
              <w:ind w:left="-284" w:right="-427"/>
              <w:jc w:val="both"/>
              <w:rPr>
                <w:rFonts/>
                <w:color w:val="262626" w:themeColor="text1" w:themeTint="D9"/>
              </w:rPr>
            </w:pPr>
            <w:r>
              <w:t>	PRINCIPALES DATOS UNIDADES</w:t>
            </w:r>
          </w:p>
          <w:p>
            <w:pPr>
              <w:ind w:left="-284" w:right="-427"/>
              <w:jc w:val="both"/>
              <w:rPr>
                <w:rFonts/>
                <w:color w:val="262626" w:themeColor="text1" w:themeTint="D9"/>
              </w:rPr>
            </w:pPr>
            <w:r>
              <w:t>	Primas emitidas y aceptadas</w:t>
            </w:r>
          </w:p>
          <w:p>
            <w:pPr>
              <w:ind w:left="-284" w:right="-427"/>
              <w:jc w:val="both"/>
              <w:rPr>
                <w:rFonts/>
                <w:color w:val="262626" w:themeColor="text1" w:themeTint="D9"/>
              </w:rPr>
            </w:pPr>
            <w:r>
              <w:t>	Millones €</w:t>
            </w:r>
          </w:p>
          <w:p>
            <w:pPr>
              <w:ind w:left="-284" w:right="-427"/>
              <w:jc w:val="both"/>
              <w:rPr>
                <w:rFonts/>
                <w:color w:val="262626" w:themeColor="text1" w:themeTint="D9"/>
              </w:rPr>
            </w:pPr>
            <w:r>
              <w:t>	% Var.</w:t>
            </w:r>
          </w:p>
          <w:p>
            <w:pPr>
              <w:ind w:left="-284" w:right="-427"/>
              <w:jc w:val="both"/>
              <w:rPr>
                <w:rFonts/>
                <w:color w:val="262626" w:themeColor="text1" w:themeTint="D9"/>
              </w:rPr>
            </w:pPr>
            <w:r>
              <w:t>	2013(2)</w:t>
            </w:r>
          </w:p>
          <w:p>
            <w:pPr>
              <w:ind w:left="-284" w:right="-427"/>
              <w:jc w:val="both"/>
              <w:rPr>
                <w:rFonts/>
                <w:color w:val="262626" w:themeColor="text1" w:themeTint="D9"/>
              </w:rPr>
            </w:pPr>
            <w:r>
              <w:t>	2012</w:t>
            </w:r>
          </w:p>
          <w:p>
            <w:pPr>
              <w:ind w:left="-284" w:right="-427"/>
              <w:jc w:val="both"/>
              <w:rPr>
                <w:rFonts/>
                <w:color w:val="262626" w:themeColor="text1" w:themeTint="D9"/>
              </w:rPr>
            </w:pPr>
            <w:r>
              <w:t>	13 / 12</w:t>
            </w:r>
          </w:p>
          <w:p>
            <w:pPr>
              <w:ind w:left="-284" w:right="-427"/>
              <w:jc w:val="both"/>
              <w:rPr>
                <w:rFonts/>
                <w:color w:val="262626" w:themeColor="text1" w:themeTint="D9"/>
              </w:rPr>
            </w:pPr>
            <w:r>
              <w:t>	SEGURO ESPAÑA Y PORTUGAL</w:t>
            </w:r>
          </w:p>
          <w:p>
            <w:pPr>
              <w:ind w:left="-284" w:right="-427"/>
              <w:jc w:val="both"/>
              <w:rPr>
                <w:rFonts/>
                <w:color w:val="262626" w:themeColor="text1" w:themeTint="D9"/>
              </w:rPr>
            </w:pPr>
            <w:r>
              <w:t>	6.844,4</w:t>
            </w:r>
          </w:p>
          <w:p>
            <w:pPr>
              <w:ind w:left="-284" w:right="-427"/>
              <w:jc w:val="both"/>
              <w:rPr>
                <w:rFonts/>
                <w:color w:val="262626" w:themeColor="text1" w:themeTint="D9"/>
              </w:rPr>
            </w:pPr>
            <w:r>
              <w:t>	7.507,6</w:t>
            </w:r>
          </w:p>
          <w:p>
            <w:pPr>
              <w:ind w:left="-284" w:right="-427"/>
              <w:jc w:val="both"/>
              <w:rPr>
                <w:rFonts/>
                <w:color w:val="262626" w:themeColor="text1" w:themeTint="D9"/>
              </w:rPr>
            </w:pPr>
            <w:r>
              <w:t>	-8,8%</w:t>
            </w:r>
          </w:p>
          <w:p>
            <w:pPr>
              <w:ind w:left="-284" w:right="-427"/>
              <w:jc w:val="both"/>
              <w:rPr>
                <w:rFonts/>
                <w:color w:val="262626" w:themeColor="text1" w:themeTint="D9"/>
              </w:rPr>
            </w:pPr>
            <w:r>
              <w:t>	MAPFRE FAMILIAR</w:t>
            </w:r>
          </w:p>
          <w:p>
            <w:pPr>
              <w:ind w:left="-284" w:right="-427"/>
              <w:jc w:val="both"/>
              <w:rPr>
                <w:rFonts/>
                <w:color w:val="262626" w:themeColor="text1" w:themeTint="D9"/>
              </w:rPr>
            </w:pPr>
            <w:r>
              <w:t>	3.556,5</w:t>
            </w:r>
          </w:p>
          <w:p>
            <w:pPr>
              <w:ind w:left="-284" w:right="-427"/>
              <w:jc w:val="both"/>
              <w:rPr>
                <w:rFonts/>
                <w:color w:val="262626" w:themeColor="text1" w:themeTint="D9"/>
              </w:rPr>
            </w:pPr>
            <w:r>
              <w:t>	3.715,1</w:t>
            </w:r>
          </w:p>
          <w:p>
            <w:pPr>
              <w:ind w:left="-284" w:right="-427"/>
              <w:jc w:val="both"/>
              <w:rPr>
                <w:rFonts/>
                <w:color w:val="262626" w:themeColor="text1" w:themeTint="D9"/>
              </w:rPr>
            </w:pPr>
            <w:r>
              <w:t>	-4,3%</w:t>
            </w:r>
          </w:p>
          <w:p>
            <w:pPr>
              <w:ind w:left="-284" w:right="-427"/>
              <w:jc w:val="both"/>
              <w:rPr>
                <w:rFonts/>
                <w:color w:val="262626" w:themeColor="text1" w:themeTint="D9"/>
              </w:rPr>
            </w:pPr>
            <w:r>
              <w:t>	MAPFRE VIDA</w:t>
            </w:r>
          </w:p>
          <w:p>
            <w:pPr>
              <w:ind w:left="-284" w:right="-427"/>
              <w:jc w:val="both"/>
              <w:rPr>
                <w:rFonts/>
                <w:color w:val="262626" w:themeColor="text1" w:themeTint="D9"/>
              </w:rPr>
            </w:pPr>
            <w:r>
              <w:t>	2.508,4</w:t>
            </w:r>
          </w:p>
          <w:p>
            <w:pPr>
              <w:ind w:left="-284" w:right="-427"/>
              <w:jc w:val="both"/>
              <w:rPr>
                <w:rFonts/>
                <w:color w:val="262626" w:themeColor="text1" w:themeTint="D9"/>
              </w:rPr>
            </w:pPr>
            <w:r>
              <w:t>	3.077,5</w:t>
            </w:r>
          </w:p>
          <w:p>
            <w:pPr>
              <w:ind w:left="-284" w:right="-427"/>
              <w:jc w:val="both"/>
              <w:rPr>
                <w:rFonts/>
                <w:color w:val="262626" w:themeColor="text1" w:themeTint="D9"/>
              </w:rPr>
            </w:pPr>
            <w:r>
              <w:t>	-18,5%</w:t>
            </w:r>
          </w:p>
          <w:p>
            <w:pPr>
              <w:ind w:left="-284" w:right="-427"/>
              <w:jc w:val="both"/>
              <w:rPr>
                <w:rFonts/>
                <w:color w:val="262626" w:themeColor="text1" w:themeTint="D9"/>
              </w:rPr>
            </w:pPr>
            <w:r>
              <w:t>	MAPFRE EMPRESAS</w:t>
            </w:r>
          </w:p>
          <w:p>
            <w:pPr>
              <w:ind w:left="-284" w:right="-427"/>
              <w:jc w:val="both"/>
              <w:rPr>
                <w:rFonts/>
                <w:color w:val="262626" w:themeColor="text1" w:themeTint="D9"/>
              </w:rPr>
            </w:pPr>
            <w:r>
              <w:t>	642,8</w:t>
            </w:r>
          </w:p>
          <w:p>
            <w:pPr>
              <w:ind w:left="-284" w:right="-427"/>
              <w:jc w:val="both"/>
              <w:rPr>
                <w:rFonts/>
                <w:color w:val="262626" w:themeColor="text1" w:themeTint="D9"/>
              </w:rPr>
            </w:pPr>
            <w:r>
              <w:t>	715,0</w:t>
            </w:r>
          </w:p>
          <w:p>
            <w:pPr>
              <w:ind w:left="-284" w:right="-427"/>
              <w:jc w:val="both"/>
              <w:rPr>
                <w:rFonts/>
                <w:color w:val="262626" w:themeColor="text1" w:themeTint="D9"/>
              </w:rPr>
            </w:pPr>
            <w:r>
              <w:t>	-10,1%</w:t>
            </w:r>
          </w:p>
          <w:p>
            <w:pPr>
              <w:ind w:left="-284" w:right="-427"/>
              <w:jc w:val="both"/>
              <w:rPr>
                <w:rFonts/>
                <w:color w:val="262626" w:themeColor="text1" w:themeTint="D9"/>
              </w:rPr>
            </w:pPr>
            <w:r>
              <w:t>	MAPFRE PORTUGAL</w:t>
            </w:r>
          </w:p>
          <w:p>
            <w:pPr>
              <w:ind w:left="-284" w:right="-427"/>
              <w:jc w:val="both"/>
              <w:rPr>
                <w:rFonts/>
                <w:color w:val="262626" w:themeColor="text1" w:themeTint="D9"/>
              </w:rPr>
            </w:pPr>
            <w:r>
              <w:t>	136,7</w:t>
            </w:r>
          </w:p>
          <w:p>
            <w:pPr>
              <w:ind w:left="-284" w:right="-427"/>
              <w:jc w:val="both"/>
              <w:rPr>
                <w:rFonts/>
                <w:color w:val="262626" w:themeColor="text1" w:themeTint="D9"/>
              </w:rPr>
            </w:pPr>
            <w:r>
              <w:t>	---</w:t>
            </w:r>
          </w:p>
          <w:p>
            <w:pPr>
              <w:ind w:left="-284" w:right="-427"/>
              <w:jc w:val="both"/>
              <w:rPr>
                <w:rFonts/>
                <w:color w:val="262626" w:themeColor="text1" w:themeTint="D9"/>
              </w:rPr>
            </w:pPr>
            <w:r>
              <w:t>	---</w:t>
            </w:r>
          </w:p>
          <w:p>
            <w:pPr>
              <w:ind w:left="-284" w:right="-427"/>
              <w:jc w:val="both"/>
              <w:rPr>
                <w:rFonts/>
                <w:color w:val="262626" w:themeColor="text1" w:themeTint="D9"/>
              </w:rPr>
            </w:pPr>
            <w:r>
              <w:t>	SEGURO INTERNACIONAL</w:t>
            </w:r>
          </w:p>
          <w:p>
            <w:pPr>
              <w:ind w:left="-284" w:right="-427"/>
              <w:jc w:val="both"/>
              <w:rPr>
                <w:rFonts/>
                <w:color w:val="262626" w:themeColor="text1" w:themeTint="D9"/>
              </w:rPr>
            </w:pPr>
            <w:r>
              <w:t>	11.419,0</w:t>
            </w:r>
          </w:p>
          <w:p>
            <w:pPr>
              <w:ind w:left="-284" w:right="-427"/>
              <w:jc w:val="both"/>
              <w:rPr>
                <w:rFonts/>
                <w:color w:val="262626" w:themeColor="text1" w:themeTint="D9"/>
              </w:rPr>
            </w:pPr>
            <w:r>
              <w:t>	10.833,9</w:t>
            </w:r>
          </w:p>
          <w:p>
            <w:pPr>
              <w:ind w:left="-284" w:right="-427"/>
              <w:jc w:val="both"/>
              <w:rPr>
                <w:rFonts/>
                <w:color w:val="262626" w:themeColor="text1" w:themeTint="D9"/>
              </w:rPr>
            </w:pPr>
            <w:r>
              <w:t>	5,4%</w:t>
            </w:r>
          </w:p>
          <w:p>
            <w:pPr>
              <w:ind w:left="-284" w:right="-427"/>
              <w:jc w:val="both"/>
              <w:rPr>
                <w:rFonts/>
                <w:color w:val="262626" w:themeColor="text1" w:themeTint="D9"/>
              </w:rPr>
            </w:pPr>
            <w:r>
              <w:t>	MAPFRE AMÉRICA</w:t>
            </w:r>
          </w:p>
          <w:p>
            <w:pPr>
              <w:ind w:left="-284" w:right="-427"/>
              <w:jc w:val="both"/>
              <w:rPr>
                <w:rFonts/>
                <w:color w:val="262626" w:themeColor="text1" w:themeTint="D9"/>
              </w:rPr>
            </w:pPr>
            <w:r>
              <w:t>	8.886,9</w:t>
            </w:r>
          </w:p>
          <w:p>
            <w:pPr>
              <w:ind w:left="-284" w:right="-427"/>
              <w:jc w:val="both"/>
              <w:rPr>
                <w:rFonts/>
                <w:color w:val="262626" w:themeColor="text1" w:themeTint="D9"/>
              </w:rPr>
            </w:pPr>
            <w:r>
              <w:t>	8.649,1</w:t>
            </w:r>
          </w:p>
          <w:p>
            <w:pPr>
              <w:ind w:left="-284" w:right="-427"/>
              <w:jc w:val="both"/>
              <w:rPr>
                <w:rFonts/>
                <w:color w:val="262626" w:themeColor="text1" w:themeTint="D9"/>
              </w:rPr>
            </w:pPr>
            <w:r>
              <w:t>	2,7%</w:t>
            </w:r>
          </w:p>
          <w:p>
            <w:pPr>
              <w:ind w:left="-284" w:right="-427"/>
              <w:jc w:val="both"/>
              <w:rPr>
                <w:rFonts/>
                <w:color w:val="262626" w:themeColor="text1" w:themeTint="D9"/>
              </w:rPr>
            </w:pPr>
            <w:r>
              <w:t>	MAPFRE INTERNACIONAL (3)</w:t>
            </w:r>
          </w:p>
          <w:p>
            <w:pPr>
              <w:ind w:left="-284" w:right="-427"/>
              <w:jc w:val="both"/>
              <w:rPr>
                <w:rFonts/>
                <w:color w:val="262626" w:themeColor="text1" w:themeTint="D9"/>
              </w:rPr>
            </w:pPr>
            <w:r>
              <w:t>	2.532,1</w:t>
            </w:r>
          </w:p>
          <w:p>
            <w:pPr>
              <w:ind w:left="-284" w:right="-427"/>
              <w:jc w:val="both"/>
              <w:rPr>
                <w:rFonts/>
                <w:color w:val="262626" w:themeColor="text1" w:themeTint="D9"/>
              </w:rPr>
            </w:pPr>
            <w:r>
              <w:t>	2.184,8</w:t>
            </w:r>
          </w:p>
          <w:p>
            <w:pPr>
              <w:ind w:left="-284" w:right="-427"/>
              <w:jc w:val="both"/>
              <w:rPr>
                <w:rFonts/>
                <w:color w:val="262626" w:themeColor="text1" w:themeTint="D9"/>
              </w:rPr>
            </w:pPr>
            <w:r>
              <w:t>	15,9%</w:t>
            </w:r>
          </w:p>
          <w:p>
            <w:pPr>
              <w:ind w:left="-284" w:right="-427"/>
              <w:jc w:val="both"/>
              <w:rPr>
                <w:rFonts/>
                <w:color w:val="262626" w:themeColor="text1" w:themeTint="D9"/>
              </w:rPr>
            </w:pPr>
            <w:r>
              <w:t>	NEGOCIOS GLOBALES</w:t>
            </w:r>
          </w:p>
          <w:p>
            <w:pPr>
              <w:ind w:left="-284" w:right="-427"/>
              <w:jc w:val="both"/>
              <w:rPr>
                <w:rFonts/>
                <w:color w:val="262626" w:themeColor="text1" w:themeTint="D9"/>
              </w:rPr>
            </w:pPr>
            <w:r>
              <w:t>	5.290,6</w:t>
            </w:r>
          </w:p>
          <w:p>
            <w:pPr>
              <w:ind w:left="-284" w:right="-427"/>
              <w:jc w:val="both"/>
              <w:rPr>
                <w:rFonts/>
                <w:color w:val="262626" w:themeColor="text1" w:themeTint="D9"/>
              </w:rPr>
            </w:pPr>
            <w:r>
              <w:t>	4.723,2</w:t>
            </w:r>
          </w:p>
          <w:p>
            <w:pPr>
              <w:ind w:left="-284" w:right="-427"/>
              <w:jc w:val="both"/>
              <w:rPr>
                <w:rFonts/>
                <w:color w:val="262626" w:themeColor="text1" w:themeTint="D9"/>
              </w:rPr>
            </w:pPr>
            <w:r>
              <w:t>	12,0%</w:t>
            </w:r>
          </w:p>
          <w:p>
            <w:pPr>
              <w:ind w:left="-284" w:right="-427"/>
              <w:jc w:val="both"/>
              <w:rPr>
                <w:rFonts/>
                <w:color w:val="262626" w:themeColor="text1" w:themeTint="D9"/>
              </w:rPr>
            </w:pPr>
            <w:r>
              <w:t>	MAPFRE GLOBAL RISKS</w:t>
            </w:r>
          </w:p>
          <w:p>
            <w:pPr>
              <w:ind w:left="-284" w:right="-427"/>
              <w:jc w:val="both"/>
              <w:rPr>
                <w:rFonts/>
                <w:color w:val="262626" w:themeColor="text1" w:themeTint="D9"/>
              </w:rPr>
            </w:pPr>
            <w:r>
              <w:t>	1.118,8</w:t>
            </w:r>
          </w:p>
          <w:p>
            <w:pPr>
              <w:ind w:left="-284" w:right="-427"/>
              <w:jc w:val="both"/>
              <w:rPr>
                <w:rFonts/>
                <w:color w:val="262626" w:themeColor="text1" w:themeTint="D9"/>
              </w:rPr>
            </w:pPr>
            <w:r>
              <w:t>	1.115,2</w:t>
            </w:r>
          </w:p>
          <w:p>
            <w:pPr>
              <w:ind w:left="-284" w:right="-427"/>
              <w:jc w:val="both"/>
              <w:rPr>
                <w:rFonts/>
                <w:color w:val="262626" w:themeColor="text1" w:themeTint="D9"/>
              </w:rPr>
            </w:pPr>
            <w:r>
              <w:t>	0,3%</w:t>
            </w:r>
          </w:p>
          <w:p>
            <w:pPr>
              <w:ind w:left="-284" w:right="-427"/>
              <w:jc w:val="both"/>
              <w:rPr>
                <w:rFonts/>
                <w:color w:val="262626" w:themeColor="text1" w:themeTint="D9"/>
              </w:rPr>
            </w:pPr>
            <w:r>
              <w:t>	MAPFRE  RE</w:t>
            </w:r>
          </w:p>
          <w:p>
            <w:pPr>
              <w:ind w:left="-284" w:right="-427"/>
              <w:jc w:val="both"/>
              <w:rPr>
                <w:rFonts/>
                <w:color w:val="262626" w:themeColor="text1" w:themeTint="D9"/>
              </w:rPr>
            </w:pPr>
            <w:r>
              <w:t>	3.253,7</w:t>
            </w:r>
          </w:p>
          <w:p>
            <w:pPr>
              <w:ind w:left="-284" w:right="-427"/>
              <w:jc w:val="both"/>
              <w:rPr>
                <w:rFonts/>
                <w:color w:val="262626" w:themeColor="text1" w:themeTint="D9"/>
              </w:rPr>
            </w:pPr>
            <w:r>
              <w:t>	2.844,5</w:t>
            </w:r>
          </w:p>
          <w:p>
            <w:pPr>
              <w:ind w:left="-284" w:right="-427"/>
              <w:jc w:val="both"/>
              <w:rPr>
                <w:rFonts/>
                <w:color w:val="262626" w:themeColor="text1" w:themeTint="D9"/>
              </w:rPr>
            </w:pPr>
            <w:r>
              <w:t>	14,4%</w:t>
            </w:r>
          </w:p>
          <w:p>
            <w:pPr>
              <w:ind w:left="-284" w:right="-427"/>
              <w:jc w:val="both"/>
              <w:rPr>
                <w:rFonts/>
                <w:color w:val="262626" w:themeColor="text1" w:themeTint="D9"/>
              </w:rPr>
            </w:pPr>
            <w:r>
              <w:t>	MAPFRE ASISTENCIA</w:t>
            </w:r>
          </w:p>
          <w:p>
            <w:pPr>
              <w:ind w:left="-284" w:right="-427"/>
              <w:jc w:val="both"/>
              <w:rPr>
                <w:rFonts/>
                <w:color w:val="262626" w:themeColor="text1" w:themeTint="D9"/>
              </w:rPr>
            </w:pPr>
            <w:r>
              <w:t>	918,1</w:t>
            </w:r>
          </w:p>
          <w:p>
            <w:pPr>
              <w:ind w:left="-284" w:right="-427"/>
              <w:jc w:val="both"/>
              <w:rPr>
                <w:rFonts/>
                <w:color w:val="262626" w:themeColor="text1" w:themeTint="D9"/>
              </w:rPr>
            </w:pPr>
            <w:r>
              <w:t>	763,5</w:t>
            </w:r>
          </w:p>
          <w:p>
            <w:pPr>
              <w:ind w:left="-284" w:right="-427"/>
              <w:jc w:val="both"/>
              <w:rPr>
                <w:rFonts/>
                <w:color w:val="262626" w:themeColor="text1" w:themeTint="D9"/>
              </w:rPr>
            </w:pPr>
            <w:r>
              <w:t>	20,2%</w:t>
            </w:r>
          </w:p>
          <w:p>
            <w:pPr>
              <w:ind w:left="-284" w:right="-427"/>
              <w:jc w:val="both"/>
              <w:rPr>
                <w:rFonts/>
                <w:color w:val="262626" w:themeColor="text1" w:themeTint="D9"/>
              </w:rPr>
            </w:pPr>
            <w:r>
              <w:t>	Resultados antes de impuestos y socios externos</w:t>
            </w:r>
          </w:p>
          <w:p>
            <w:pPr>
              <w:ind w:left="-284" w:right="-427"/>
              <w:jc w:val="both"/>
              <w:rPr>
                <w:rFonts/>
                <w:color w:val="262626" w:themeColor="text1" w:themeTint="D9"/>
              </w:rPr>
            </w:pPr>
            <w:r>
              <w:t>	Millones €</w:t>
            </w:r>
          </w:p>
          <w:p>
            <w:pPr>
              <w:ind w:left="-284" w:right="-427"/>
              <w:jc w:val="both"/>
              <w:rPr>
                <w:rFonts/>
                <w:color w:val="262626" w:themeColor="text1" w:themeTint="D9"/>
              </w:rPr>
            </w:pPr>
            <w:r>
              <w:t>	% Var.</w:t>
            </w:r>
          </w:p>
          <w:p>
            <w:pPr>
              <w:ind w:left="-284" w:right="-427"/>
              <w:jc w:val="both"/>
              <w:rPr>
                <w:rFonts/>
                <w:color w:val="262626" w:themeColor="text1" w:themeTint="D9"/>
              </w:rPr>
            </w:pPr>
            <w:r>
              <w:t>	2013(2)</w:t>
            </w:r>
          </w:p>
          <w:p>
            <w:pPr>
              <w:ind w:left="-284" w:right="-427"/>
              <w:jc w:val="both"/>
              <w:rPr>
                <w:rFonts/>
                <w:color w:val="262626" w:themeColor="text1" w:themeTint="D9"/>
              </w:rPr>
            </w:pPr>
            <w:r>
              <w:t>	2012</w:t>
            </w:r>
          </w:p>
          <w:p>
            <w:pPr>
              <w:ind w:left="-284" w:right="-427"/>
              <w:jc w:val="both"/>
              <w:rPr>
                <w:rFonts/>
                <w:color w:val="262626" w:themeColor="text1" w:themeTint="D9"/>
              </w:rPr>
            </w:pPr>
            <w:r>
              <w:t>	13 / 12</w:t>
            </w:r>
          </w:p>
          <w:p>
            <w:pPr>
              <w:ind w:left="-284" w:right="-427"/>
              <w:jc w:val="both"/>
              <w:rPr>
                <w:rFonts/>
                <w:color w:val="262626" w:themeColor="text1" w:themeTint="D9"/>
              </w:rPr>
            </w:pPr>
            <w:r>
              <w:t>	SEGURO ESPAÑA Y PORTUGAL</w:t>
            </w:r>
          </w:p>
          <w:p>
            <w:pPr>
              <w:ind w:left="-284" w:right="-427"/>
              <w:jc w:val="both"/>
              <w:rPr>
                <w:rFonts/>
                <w:color w:val="262626" w:themeColor="text1" w:themeTint="D9"/>
              </w:rPr>
            </w:pPr>
            <w:r>
              <w:t>	552,5</w:t>
            </w:r>
          </w:p>
          <w:p>
            <w:pPr>
              <w:ind w:left="-284" w:right="-427"/>
              <w:jc w:val="both"/>
              <w:rPr>
                <w:rFonts/>
                <w:color w:val="262626" w:themeColor="text1" w:themeTint="D9"/>
              </w:rPr>
            </w:pPr>
            <w:r>
              <w:t>	535,7</w:t>
            </w:r>
          </w:p>
          <w:p>
            <w:pPr>
              <w:ind w:left="-284" w:right="-427"/>
              <w:jc w:val="both"/>
              <w:rPr>
                <w:rFonts/>
                <w:color w:val="262626" w:themeColor="text1" w:themeTint="D9"/>
              </w:rPr>
            </w:pPr>
            <w:r>
              <w:t>	3,1%</w:t>
            </w:r>
          </w:p>
          <w:p>
            <w:pPr>
              <w:ind w:left="-284" w:right="-427"/>
              <w:jc w:val="both"/>
              <w:rPr>
                <w:rFonts/>
                <w:color w:val="262626" w:themeColor="text1" w:themeTint="D9"/>
              </w:rPr>
            </w:pPr>
            <w:r>
              <w:t>	MAPFRE FAMILIAR</w:t>
            </w:r>
          </w:p>
          <w:p>
            <w:pPr>
              <w:ind w:left="-284" w:right="-427"/>
              <w:jc w:val="both"/>
              <w:rPr>
                <w:rFonts/>
                <w:color w:val="262626" w:themeColor="text1" w:themeTint="D9"/>
              </w:rPr>
            </w:pPr>
            <w:r>
              <w:t>	233,4</w:t>
            </w:r>
          </w:p>
          <w:p>
            <w:pPr>
              <w:ind w:left="-284" w:right="-427"/>
              <w:jc w:val="both"/>
              <w:rPr>
                <w:rFonts/>
                <w:color w:val="262626" w:themeColor="text1" w:themeTint="D9"/>
              </w:rPr>
            </w:pPr>
            <w:r>
              <w:t>	236,6</w:t>
            </w:r>
          </w:p>
          <w:p>
            <w:pPr>
              <w:ind w:left="-284" w:right="-427"/>
              <w:jc w:val="both"/>
              <w:rPr>
                <w:rFonts/>
                <w:color w:val="262626" w:themeColor="text1" w:themeTint="D9"/>
              </w:rPr>
            </w:pPr>
            <w:r>
              <w:t>	-1,4%</w:t>
            </w:r>
          </w:p>
          <w:p>
            <w:pPr>
              <w:ind w:left="-284" w:right="-427"/>
              <w:jc w:val="both"/>
              <w:rPr>
                <w:rFonts/>
                <w:color w:val="262626" w:themeColor="text1" w:themeTint="D9"/>
              </w:rPr>
            </w:pPr>
            <w:r>
              <w:t>	MAPFRE VIDA</w:t>
            </w:r>
          </w:p>
          <w:p>
            <w:pPr>
              <w:ind w:left="-284" w:right="-427"/>
              <w:jc w:val="both"/>
              <w:rPr>
                <w:rFonts/>
                <w:color w:val="262626" w:themeColor="text1" w:themeTint="D9"/>
              </w:rPr>
            </w:pPr>
            <w:r>
              <w:t>	209,0</w:t>
            </w:r>
          </w:p>
          <w:p>
            <w:pPr>
              <w:ind w:left="-284" w:right="-427"/>
              <w:jc w:val="both"/>
              <w:rPr>
                <w:rFonts/>
                <w:color w:val="262626" w:themeColor="text1" w:themeTint="D9"/>
              </w:rPr>
            </w:pPr>
            <w:r>
              <w:t>	213,5</w:t>
            </w:r>
          </w:p>
          <w:p>
            <w:pPr>
              <w:ind w:left="-284" w:right="-427"/>
              <w:jc w:val="both"/>
              <w:rPr>
                <w:rFonts/>
                <w:color w:val="262626" w:themeColor="text1" w:themeTint="D9"/>
              </w:rPr>
            </w:pPr>
            <w:r>
              <w:t>	-2,1%</w:t>
            </w:r>
          </w:p>
          <w:p>
            <w:pPr>
              <w:ind w:left="-284" w:right="-427"/>
              <w:jc w:val="both"/>
              <w:rPr>
                <w:rFonts/>
                <w:color w:val="262626" w:themeColor="text1" w:themeTint="D9"/>
              </w:rPr>
            </w:pPr>
            <w:r>
              <w:t>	MAPFRE EMPRESAS</w:t>
            </w:r>
          </w:p>
          <w:p>
            <w:pPr>
              <w:ind w:left="-284" w:right="-427"/>
              <w:jc w:val="both"/>
              <w:rPr>
                <w:rFonts/>
                <w:color w:val="262626" w:themeColor="text1" w:themeTint="D9"/>
              </w:rPr>
            </w:pPr>
            <w:r>
              <w:t>	108,5</w:t>
            </w:r>
          </w:p>
          <w:p>
            <w:pPr>
              <w:ind w:left="-284" w:right="-427"/>
              <w:jc w:val="both"/>
              <w:rPr>
                <w:rFonts/>
                <w:color w:val="262626" w:themeColor="text1" w:themeTint="D9"/>
              </w:rPr>
            </w:pPr>
            <w:r>
              <w:t>	85,6</w:t>
            </w:r>
          </w:p>
          <w:p>
            <w:pPr>
              <w:ind w:left="-284" w:right="-427"/>
              <w:jc w:val="both"/>
              <w:rPr>
                <w:rFonts/>
                <w:color w:val="262626" w:themeColor="text1" w:themeTint="D9"/>
              </w:rPr>
            </w:pPr>
            <w:r>
              <w:t>	26,8%</w:t>
            </w:r>
          </w:p>
          <w:p>
            <w:pPr>
              <w:ind w:left="-284" w:right="-427"/>
              <w:jc w:val="both"/>
              <w:rPr>
                <w:rFonts/>
                <w:color w:val="262626" w:themeColor="text1" w:themeTint="D9"/>
              </w:rPr>
            </w:pPr>
            <w:r>
              <w:t>	MAPFRE PORTUGAL</w:t>
            </w:r>
          </w:p>
          <w:p>
            <w:pPr>
              <w:ind w:left="-284" w:right="-427"/>
              <w:jc w:val="both"/>
              <w:rPr>
                <w:rFonts/>
                <w:color w:val="262626" w:themeColor="text1" w:themeTint="D9"/>
              </w:rPr>
            </w:pPr>
            <w:r>
              <w:t>	1,6</w:t>
            </w:r>
          </w:p>
          <w:p>
            <w:pPr>
              <w:ind w:left="-284" w:right="-427"/>
              <w:jc w:val="both"/>
              <w:rPr>
                <w:rFonts/>
                <w:color w:val="262626" w:themeColor="text1" w:themeTint="D9"/>
              </w:rPr>
            </w:pPr>
            <w:r>
              <w:t>	---</w:t>
            </w:r>
          </w:p>
          <w:p>
            <w:pPr>
              <w:ind w:left="-284" w:right="-427"/>
              <w:jc w:val="both"/>
              <w:rPr>
                <w:rFonts/>
                <w:color w:val="262626" w:themeColor="text1" w:themeTint="D9"/>
              </w:rPr>
            </w:pPr>
            <w:r>
              <w:t>	---</w:t>
            </w:r>
          </w:p>
          <w:p>
            <w:pPr>
              <w:ind w:left="-284" w:right="-427"/>
              <w:jc w:val="both"/>
              <w:rPr>
                <w:rFonts/>
                <w:color w:val="262626" w:themeColor="text1" w:themeTint="D9"/>
              </w:rPr>
            </w:pPr>
            <w:r>
              <w:t>	SEGURO INTERNACIONAL</w:t>
            </w:r>
          </w:p>
          <w:p>
            <w:pPr>
              <w:ind w:left="-284" w:right="-427"/>
              <w:jc w:val="both"/>
              <w:rPr>
                <w:rFonts/>
                <w:color w:val="262626" w:themeColor="text1" w:themeTint="D9"/>
              </w:rPr>
            </w:pPr>
            <w:r>
              <w:t>	894,7</w:t>
            </w:r>
          </w:p>
          <w:p>
            <w:pPr>
              <w:ind w:left="-284" w:right="-427"/>
              <w:jc w:val="both"/>
              <w:rPr>
                <w:rFonts/>
                <w:color w:val="262626" w:themeColor="text1" w:themeTint="D9"/>
              </w:rPr>
            </w:pPr>
            <w:r>
              <w:t>	777,3</w:t>
            </w:r>
          </w:p>
          <w:p>
            <w:pPr>
              <w:ind w:left="-284" w:right="-427"/>
              <w:jc w:val="both"/>
              <w:rPr>
                <w:rFonts/>
                <w:color w:val="262626" w:themeColor="text1" w:themeTint="D9"/>
              </w:rPr>
            </w:pPr>
            <w:r>
              <w:t>	15,1%</w:t>
            </w:r>
          </w:p>
          <w:p>
            <w:pPr>
              <w:ind w:left="-284" w:right="-427"/>
              <w:jc w:val="both"/>
              <w:rPr>
                <w:rFonts/>
                <w:color w:val="262626" w:themeColor="text1" w:themeTint="D9"/>
              </w:rPr>
            </w:pPr>
            <w:r>
              <w:t>	MAPFRE AMÉRICA</w:t>
            </w:r>
          </w:p>
          <w:p>
            <w:pPr>
              <w:ind w:left="-284" w:right="-427"/>
              <w:jc w:val="both"/>
              <w:rPr>
                <w:rFonts/>
                <w:color w:val="262626" w:themeColor="text1" w:themeTint="D9"/>
              </w:rPr>
            </w:pPr>
            <w:r>
              <w:t>	703,4</w:t>
            </w:r>
          </w:p>
          <w:p>
            <w:pPr>
              <w:ind w:left="-284" w:right="-427"/>
              <w:jc w:val="both"/>
              <w:rPr>
                <w:rFonts/>
                <w:color w:val="262626" w:themeColor="text1" w:themeTint="D9"/>
              </w:rPr>
            </w:pPr>
            <w:r>
              <w:t>	653,6</w:t>
            </w:r>
          </w:p>
          <w:p>
            <w:pPr>
              <w:ind w:left="-284" w:right="-427"/>
              <w:jc w:val="both"/>
              <w:rPr>
                <w:rFonts/>
                <w:color w:val="262626" w:themeColor="text1" w:themeTint="D9"/>
              </w:rPr>
            </w:pPr>
            <w:r>
              <w:t>	7,6%</w:t>
            </w:r>
          </w:p>
          <w:p>
            <w:pPr>
              <w:ind w:left="-284" w:right="-427"/>
              <w:jc w:val="both"/>
              <w:rPr>
                <w:rFonts/>
                <w:color w:val="262626" w:themeColor="text1" w:themeTint="D9"/>
              </w:rPr>
            </w:pPr>
            <w:r>
              <w:t>	MAPFRE INTERNACIONAL (3)</w:t>
            </w:r>
          </w:p>
          <w:p>
            <w:pPr>
              <w:ind w:left="-284" w:right="-427"/>
              <w:jc w:val="both"/>
              <w:rPr>
                <w:rFonts/>
                <w:color w:val="262626" w:themeColor="text1" w:themeTint="D9"/>
              </w:rPr>
            </w:pPr>
            <w:r>
              <w:t>	191,3</w:t>
            </w:r>
          </w:p>
          <w:p>
            <w:pPr>
              <w:ind w:left="-284" w:right="-427"/>
              <w:jc w:val="both"/>
              <w:rPr>
                <w:rFonts/>
                <w:color w:val="262626" w:themeColor="text1" w:themeTint="D9"/>
              </w:rPr>
            </w:pPr>
            <w:r>
              <w:t>	123,7</w:t>
            </w:r>
          </w:p>
          <w:p>
            <w:pPr>
              <w:ind w:left="-284" w:right="-427"/>
              <w:jc w:val="both"/>
              <w:rPr>
                <w:rFonts/>
                <w:color w:val="262626" w:themeColor="text1" w:themeTint="D9"/>
              </w:rPr>
            </w:pPr>
            <w:r>
              <w:t>	54,6%</w:t>
            </w:r>
          </w:p>
          <w:p>
            <w:pPr>
              <w:ind w:left="-284" w:right="-427"/>
              <w:jc w:val="both"/>
              <w:rPr>
                <w:rFonts/>
                <w:color w:val="262626" w:themeColor="text1" w:themeTint="D9"/>
              </w:rPr>
            </w:pPr>
            <w:r>
              <w:t>	NEGOCIOS GLOBALES</w:t>
            </w:r>
          </w:p>
          <w:p>
            <w:pPr>
              <w:ind w:left="-284" w:right="-427"/>
              <w:jc w:val="both"/>
              <w:rPr>
                <w:rFonts/>
                <w:color w:val="262626" w:themeColor="text1" w:themeTint="D9"/>
              </w:rPr>
            </w:pPr>
            <w:r>
              <w:t>	271,6</w:t>
            </w:r>
          </w:p>
          <w:p>
            <w:pPr>
              <w:ind w:left="-284" w:right="-427"/>
              <w:jc w:val="both"/>
              <w:rPr>
                <w:rFonts/>
                <w:color w:val="262626" w:themeColor="text1" w:themeTint="D9"/>
              </w:rPr>
            </w:pPr>
            <w:r>
              <w:t>	193,1</w:t>
            </w:r>
          </w:p>
          <w:p>
            <w:pPr>
              <w:ind w:left="-284" w:right="-427"/>
              <w:jc w:val="both"/>
              <w:rPr>
                <w:rFonts/>
                <w:color w:val="262626" w:themeColor="text1" w:themeTint="D9"/>
              </w:rPr>
            </w:pPr>
            <w:r>
              <w:t>	40,7%</w:t>
            </w:r>
          </w:p>
          <w:p>
            <w:pPr>
              <w:ind w:left="-284" w:right="-427"/>
              <w:jc w:val="both"/>
              <w:rPr>
                <w:rFonts/>
                <w:color w:val="262626" w:themeColor="text1" w:themeTint="D9"/>
              </w:rPr>
            </w:pPr>
            <w:r>
              <w:t>	MAPFRE GLOBAL RISKS</w:t>
            </w:r>
          </w:p>
          <w:p>
            <w:pPr>
              <w:ind w:left="-284" w:right="-427"/>
              <w:jc w:val="both"/>
              <w:rPr>
                <w:rFonts/>
                <w:color w:val="262626" w:themeColor="text1" w:themeTint="D9"/>
              </w:rPr>
            </w:pPr>
            <w:r>
              <w:t>	66,4</w:t>
            </w:r>
          </w:p>
          <w:p>
            <w:pPr>
              <w:ind w:left="-284" w:right="-427"/>
              <w:jc w:val="both"/>
              <w:rPr>
                <w:rFonts/>
                <w:color w:val="262626" w:themeColor="text1" w:themeTint="D9"/>
              </w:rPr>
            </w:pPr>
            <w:r>
              <w:t>	25,3</w:t>
            </w:r>
          </w:p>
          <w:p>
            <w:pPr>
              <w:ind w:left="-284" w:right="-427"/>
              <w:jc w:val="both"/>
              <w:rPr>
                <w:rFonts/>
                <w:color w:val="262626" w:themeColor="text1" w:themeTint="D9"/>
              </w:rPr>
            </w:pPr>
            <w:r>
              <w:t>	162,5%</w:t>
            </w:r>
          </w:p>
          <w:p>
            <w:pPr>
              <w:ind w:left="-284" w:right="-427"/>
              <w:jc w:val="both"/>
              <w:rPr>
                <w:rFonts/>
                <w:color w:val="262626" w:themeColor="text1" w:themeTint="D9"/>
              </w:rPr>
            </w:pPr>
            <w:r>
              <w:t>	MAPFRE  RE</w:t>
            </w:r>
          </w:p>
          <w:p>
            <w:pPr>
              <w:ind w:left="-284" w:right="-427"/>
              <w:jc w:val="both"/>
              <w:rPr>
                <w:rFonts/>
                <w:color w:val="262626" w:themeColor="text1" w:themeTint="D9"/>
              </w:rPr>
            </w:pPr>
            <w:r>
              <w:t>	155,3</w:t>
            </w:r>
          </w:p>
          <w:p>
            <w:pPr>
              <w:ind w:left="-284" w:right="-427"/>
              <w:jc w:val="both"/>
              <w:rPr>
                <w:rFonts/>
                <w:color w:val="262626" w:themeColor="text1" w:themeTint="D9"/>
              </w:rPr>
            </w:pPr>
            <w:r>
              <w:t>	121,1</w:t>
            </w:r>
          </w:p>
          <w:p>
            <w:pPr>
              <w:ind w:left="-284" w:right="-427"/>
              <w:jc w:val="both"/>
              <w:rPr>
                <w:rFonts/>
                <w:color w:val="262626" w:themeColor="text1" w:themeTint="D9"/>
              </w:rPr>
            </w:pPr>
            <w:r>
              <w:t>	28,2%</w:t>
            </w:r>
          </w:p>
          <w:p>
            <w:pPr>
              <w:ind w:left="-284" w:right="-427"/>
              <w:jc w:val="both"/>
              <w:rPr>
                <w:rFonts/>
                <w:color w:val="262626" w:themeColor="text1" w:themeTint="D9"/>
              </w:rPr>
            </w:pPr>
            <w:r>
              <w:t>	MAPFRE ASISTENCIA</w:t>
            </w:r>
          </w:p>
          <w:p>
            <w:pPr>
              <w:ind w:left="-284" w:right="-427"/>
              <w:jc w:val="both"/>
              <w:rPr>
                <w:rFonts/>
                <w:color w:val="262626" w:themeColor="text1" w:themeTint="D9"/>
              </w:rPr>
            </w:pPr>
            <w:r>
              <w:t>	49,9</w:t>
            </w:r>
          </w:p>
          <w:p>
            <w:pPr>
              <w:ind w:left="-284" w:right="-427"/>
              <w:jc w:val="both"/>
              <w:rPr>
                <w:rFonts/>
                <w:color w:val="262626" w:themeColor="text1" w:themeTint="D9"/>
              </w:rPr>
            </w:pPr>
            <w:r>
              <w:t>	46,7</w:t>
            </w:r>
          </w:p>
          <w:p>
            <w:pPr>
              <w:ind w:left="-284" w:right="-427"/>
              <w:jc w:val="both"/>
              <w:rPr>
                <w:rFonts/>
                <w:color w:val="262626" w:themeColor="text1" w:themeTint="D9"/>
              </w:rPr>
            </w:pPr>
            <w:r>
              <w:t>	6,9%</w:t>
            </w:r>
          </w:p>
          <w:p>
            <w:pPr>
              <w:ind w:left="-284" w:right="-427"/>
              <w:jc w:val="both"/>
              <w:rPr>
                <w:rFonts/>
                <w:color w:val="262626" w:themeColor="text1" w:themeTint="D9"/>
              </w:rPr>
            </w:pPr>
            <w:r>
              <w:t>	(1) Incluye: provisiones técnicas de Vida, fondos de inversión y fondos de pensiones. En 2013 se incluyen por primera vez los</w:t>
            </w:r>
          </w:p>
          <w:p>
            <w:pPr>
              <w:ind w:left="-284" w:right="-427"/>
              <w:jc w:val="both"/>
              <w:rPr>
                <w:rFonts/>
                <w:color w:val="262626" w:themeColor="text1" w:themeTint="D9"/>
              </w:rPr>
            </w:pPr>
            <w:r>
              <w:t>	fondos de inversión gestionados fuera de España; sin este efecto, el crecimiento sería del 5,7 por 100</w:t>
            </w:r>
          </w:p>
          <w:p>
            <w:pPr>
              <w:ind w:left="-284" w:right="-427"/>
              <w:jc w:val="both"/>
              <w:rPr>
                <w:rFonts/>
                <w:color w:val="262626" w:themeColor="text1" w:themeTint="D9"/>
              </w:rPr>
            </w:pPr>
            <w:r>
              <w:t>	(2) Las cifras de 2013 responden al organigrama corporativo 2013.</w:t>
            </w:r>
          </w:p>
          <w:p>
            <w:pPr>
              <w:ind w:left="-284" w:right="-427"/>
              <w:jc w:val="both"/>
              <w:rPr>
                <w:rFonts/>
                <w:color w:val="262626" w:themeColor="text1" w:themeTint="D9"/>
              </w:rPr>
            </w:pPr>
            <w:r>
              <w:t>	(3) Estados Unidos, Filipinas, Malta, Puerto Rico y Turquía.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MAPFRE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https://www.notasdeprensa.es/mapfre-incrementa-su-beneficio-un-187-hasta_1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