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entre las cinco mayores entidades europeas en seguro no vida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6/08/2015 MAPFRE, entre las cinco mayores entidades europeas en seguro no vida en 2014 
          <w:p>
            <w:pPr>
              <w:ind w:left="-284" w:right="-427"/>
              <w:jc w:val="both"/>
              <w:rPr>
                <w:rFonts/>
                <w:color w:val="262626" w:themeColor="text1" w:themeTint="D9"/>
              </w:rPr>
            </w:pPr>
            <w:r>
              <w:t>Los ingresos por primas de los mayores grupos aseguradores en este segmento permanecen estables, según el Ranking de FUNDACIÓN MAPFRE</w:t>
            </w:r>
          </w:p>
          <w:p>
            <w:pPr>
              <w:ind w:left="-284" w:right="-427"/>
              <w:jc w:val="both"/>
              <w:rPr>
                <w:rFonts/>
                <w:color w:val="262626" w:themeColor="text1" w:themeTint="D9"/>
              </w:rPr>
            </w:pPr>
            <w:r>
              <w:t>MAPFRE ocupa la quinta posición en la edición de 2014 del ranking de las mayores entidades aseguradoras de Europa en el segmento No Vida, que anualmente elabora la FUNDACIÓN MAPFRE. Los ingresos por primas de los 10 mayores grupos aseguradores europeos No Vida permanecieron estables en 2014 respecto al ejercicio anterior, con una ligera subida del 1,5 por ciento, hasta los 205.537 millones de euros.</w:t>
            </w:r>
          </w:p>
          <w:p>
            <w:pPr>
              <w:ind w:left="-284" w:right="-427"/>
              <w:jc w:val="both"/>
              <w:rPr>
                <w:rFonts/>
                <w:color w:val="262626" w:themeColor="text1" w:themeTint="D9"/>
              </w:rPr>
            </w:pPr>
            <w:r>
              <w:t>Las condiciones del mercado siguen siendo de fuerte competencia, lo que unido a las bajas tasas de interés, los movimientos de tipos de cambio y las modestas tasas de crecimiento económico, generan un contexto de crecimientos moderados para el sector.</w:t>
            </w:r>
          </w:p>
          <w:p>
            <w:pPr>
              <w:ind w:left="-284" w:right="-427"/>
              <w:jc w:val="both"/>
              <w:rPr>
                <w:rFonts/>
                <w:color w:val="262626" w:themeColor="text1" w:themeTint="D9"/>
              </w:rPr>
            </w:pPr>
            <w:r>
              <w:t>El resultado técnico, medido a través del ratio combinado, mejoró en siete de los 10 principales grupos en el último año. MAPFRE comparte con Aviva la cuarta posición, con un ratio de 95,7 al cierre de 2014.</w:t>
            </w:r>
          </w:p>
          <w:p>
            <w:pPr>
              <w:ind w:left="-284" w:right="-427"/>
              <w:jc w:val="both"/>
              <w:rPr>
                <w:rFonts/>
                <w:color w:val="262626" w:themeColor="text1" w:themeTint="D9"/>
              </w:rPr>
            </w:pPr>
            <w:r>
              <w:t>Esta es la undécima edición del Ranking que elabora anualmente FUNDACIÓN MAPFRE, en función del volumen de primas brutas (seguro directo más reaseguro aceptado) que cada uno de los grupos ingresó en 2014 en No Vida, procedente de todos los países en los que operan. No se incluyen grupos cuya actividad principal es el reaseguro.</w:t>
            </w:r>
          </w:p>
          <w:p>
            <w:pPr>
              <w:ind w:left="-284" w:right="-427"/>
              <w:jc w:val="both"/>
              <w:rPr>
                <w:rFonts/>
                <w:color w:val="262626" w:themeColor="text1" w:themeTint="D9"/>
              </w:rPr>
            </w:pPr>
            <w:r>
              <w:t>Después de varios años formando parte de este estudio, en esta edición se ha excluido al grupo holandés Achmea (antes Eureko) por la especificidad de la composición de su negocio frente al resto de grupos. El 77% del volumen de primas No Vida de Achmea procede del seguro de Salud en Holanda, un país donde las aseguradoras privadas gestionan la cobertura del Sistema Público de Salud. Para el resto de aseguradores estos ingresos no son mayoritarios. En 2014 Achmea ingresó 17.293 millones de euros en primas No Vida.</w:t>
            </w:r>
          </w:p>
          <w:p>
            <w:pPr>
              <w:ind w:left="-284" w:right="-427"/>
              <w:jc w:val="both"/>
              <w:rPr>
                <w:rFonts/>
                <w:color w:val="262626" w:themeColor="text1" w:themeTint="D9"/>
              </w:rPr>
            </w:pPr>
            <w:r>
              <w:t>La suma del resultado operativo (antes de impuestos y minoritarios) en el negocio No Vida de los ocho principales grupos aseguradores europeos registró un crecimiento del 6,6% en 2014. </w:t>
            </w:r>
          </w:p>
          <w:p>
            <w:pPr>
              <w:ind w:left="-284" w:right="-427"/>
              <w:jc w:val="both"/>
              <w:rPr>
                <w:rFonts/>
                <w:color w:val="262626" w:themeColor="text1" w:themeTint="D9"/>
              </w:rPr>
            </w:pPr>
            <w:r>
              <w:t>Paralelamente, FUNDACIÓN MAPFRE ha publicado también el ranking de primas totales de las principales aseguradoras europeas. En esa clasificación, MAPFRE se mantiene en la décima posición, con un volumen de primas de 22.401 millones de euros. En total, el conjunto de las diez principales aseguradoras obtuvieron primas en 2014 por 449.279 millones de euros, con un incremento del 5,1% respecto al año anterior.</w:t>
            </w:r>
          </w:p>
          <w:p>
            <w:pPr>
              <w:ind w:left="-284" w:right="-427"/>
              <w:jc w:val="both"/>
              <w:rPr>
                <w:rFonts/>
                <w:color w:val="262626" w:themeColor="text1" w:themeTint="D9"/>
              </w:rPr>
            </w:pPr>
            <w:r>
              <w:t>Millones de euros</w:t>
            </w:r>
          </w:p>
          <w:p>
            <w:pPr>
              <w:ind w:left="-284" w:right="-427"/>
              <w:jc w:val="both"/>
              <w:rPr>
                <w:rFonts/>
                <w:color w:val="262626" w:themeColor="text1" w:themeTint="D9"/>
              </w:rPr>
            </w:pPr>
            <w:r>
              <w:t>Ranking mayores grupos aseguradores europeos por volumen de primas Año 2014</w:t>
            </w:r>
          </w:p>
          <w:p>
            <w:pPr>
              <w:ind w:left="-284" w:right="-427"/>
              <w:jc w:val="both"/>
              <w:rPr>
                <w:rFonts/>
                <w:color w:val="262626" w:themeColor="text1" w:themeTint="D9"/>
              </w:rPr>
            </w:pPr>
            <w:r>
              <w:t>GRUPO</w:t>
            </w:r>
          </w:p>
          <w:p>
            <w:pPr>
              <w:ind w:left="-284" w:right="-427"/>
              <w:jc w:val="both"/>
              <w:rPr>
                <w:rFonts/>
                <w:color w:val="262626" w:themeColor="text1" w:themeTint="D9"/>
              </w:rPr>
            </w:pPr>
            <w:r>
              <w:t>PAÍS</w:t>
            </w:r>
          </w:p>
          <w:p>
            <w:pPr>
              <w:ind w:left="-284" w:right="-427"/>
              <w:jc w:val="both"/>
              <w:rPr>
                <w:rFonts/>
                <w:color w:val="262626" w:themeColor="text1" w:themeTint="D9"/>
              </w:rPr>
            </w:pPr>
            <w:r>
              <w:t>PRIMAS TOTALES</w:t>
            </w:r>
          </w:p>
          <w:p>
            <w:pPr>
              <w:ind w:left="-284" w:right="-427"/>
              <w:jc w:val="both"/>
              <w:rPr>
                <w:rFonts/>
                <w:color w:val="262626" w:themeColor="text1" w:themeTint="D9"/>
              </w:rPr>
            </w:pPr>
            <w:r>
              <w:t>2013</w:t>
            </w:r>
          </w:p>
          <w:p>
            <w:pPr>
              <w:ind w:left="-284" w:right="-427"/>
              <w:jc w:val="both"/>
              <w:rPr>
                <w:rFonts/>
                <w:color w:val="262626" w:themeColor="text1" w:themeTint="D9"/>
              </w:rPr>
            </w:pPr>
            <w:r>
              <w:t>2014</w:t>
            </w:r>
          </w:p>
          <w:p>
            <w:pPr>
              <w:ind w:left="-284" w:right="-427"/>
              <w:jc w:val="both"/>
              <w:rPr>
                <w:rFonts/>
                <w:color w:val="262626" w:themeColor="text1" w:themeTint="D9"/>
              </w:rPr>
            </w:pPr>
            <w:r>
              <w:t>% Var.</w:t>
            </w:r>
          </w:p>
          <w:p>
            <w:pPr>
              <w:ind w:left="-284" w:right="-427"/>
              <w:jc w:val="both"/>
              <w:rPr>
                <w:rFonts/>
                <w:color w:val="262626" w:themeColor="text1" w:themeTint="D9"/>
              </w:rPr>
            </w:pPr>
            <w:r>
              <w:t>1</w:t>
            </w:r>
          </w:p>
          <w:p>
            <w:pPr>
              <w:ind w:left="-284" w:right="-427"/>
              <w:jc w:val="both"/>
              <w:rPr>
                <w:rFonts/>
                <w:color w:val="262626" w:themeColor="text1" w:themeTint="D9"/>
              </w:rPr>
            </w:pPr>
            <w:r>
              <w:t>AXA</w:t>
            </w:r>
          </w:p>
          <w:p>
            <w:pPr>
              <w:ind w:left="-284" w:right="-427"/>
              <w:jc w:val="both"/>
              <w:rPr>
                <w:rFonts/>
                <w:color w:val="262626" w:themeColor="text1" w:themeTint="D9"/>
              </w:rPr>
            </w:pPr>
            <w:r>
              <w:t>Francia</w:t>
            </w:r>
          </w:p>
          <w:p>
            <w:pPr>
              <w:ind w:left="-284" w:right="-427"/>
              <w:jc w:val="both"/>
              <w:rPr>
                <w:rFonts/>
                <w:color w:val="262626" w:themeColor="text1" w:themeTint="D9"/>
              </w:rPr>
            </w:pPr>
            <w:r>
              <w:t>85.481</w:t>
            </w:r>
          </w:p>
          <w:p>
            <w:pPr>
              <w:ind w:left="-284" w:right="-427"/>
              <w:jc w:val="both"/>
              <w:rPr>
                <w:rFonts/>
                <w:color w:val="262626" w:themeColor="text1" w:themeTint="D9"/>
              </w:rPr>
            </w:pPr>
            <w:r>
              <w:t>86.267</w:t>
            </w:r>
          </w:p>
          <w:p>
            <w:pPr>
              <w:ind w:left="-284" w:right="-427"/>
              <w:jc w:val="both"/>
              <w:rPr>
                <w:rFonts/>
                <w:color w:val="262626" w:themeColor="text1" w:themeTint="D9"/>
              </w:rPr>
            </w:pPr>
            <w:r>
              <w:t>0,9</w:t>
            </w:r>
          </w:p>
          <w:p>
            <w:pPr>
              <w:ind w:left="-284" w:right="-427"/>
              <w:jc w:val="both"/>
              <w:rPr>
                <w:rFonts/>
                <w:color w:val="262626" w:themeColor="text1" w:themeTint="D9"/>
              </w:rPr>
            </w:pPr>
            <w:r>
              <w:t>2</w:t>
            </w:r>
          </w:p>
          <w:p>
            <w:pPr>
              <w:ind w:left="-284" w:right="-427"/>
              <w:jc w:val="both"/>
              <w:rPr>
                <w:rFonts/>
                <w:color w:val="262626" w:themeColor="text1" w:themeTint="D9"/>
              </w:rPr>
            </w:pPr>
            <w:r>
              <w:t>ALLIANZ</w:t>
            </w:r>
          </w:p>
          <w:p>
            <w:pPr>
              <w:ind w:left="-284" w:right="-427"/>
              <w:jc w:val="both"/>
              <w:rPr>
                <w:rFonts/>
                <w:color w:val="262626" w:themeColor="text1" w:themeTint="D9"/>
              </w:rPr>
            </w:pPr>
            <w:r>
              <w:t>Alemania</w:t>
            </w:r>
          </w:p>
          <w:p>
            <w:pPr>
              <w:ind w:left="-284" w:right="-427"/>
              <w:jc w:val="both"/>
              <w:rPr>
                <w:rFonts/>
                <w:color w:val="262626" w:themeColor="text1" w:themeTint="D9"/>
              </w:rPr>
            </w:pPr>
            <w:r>
              <w:t>72.051</w:t>
            </w:r>
          </w:p>
          <w:p>
            <w:pPr>
              <w:ind w:left="-284" w:right="-427"/>
              <w:jc w:val="both"/>
              <w:rPr>
                <w:rFonts/>
                <w:color w:val="262626" w:themeColor="text1" w:themeTint="D9"/>
              </w:rPr>
            </w:pPr>
            <w:r>
              <w:t>73.883</w:t>
            </w:r>
          </w:p>
          <w:p>
            <w:pPr>
              <w:ind w:left="-284" w:right="-427"/>
              <w:jc w:val="both"/>
              <w:rPr>
                <w:rFonts/>
                <w:color w:val="262626" w:themeColor="text1" w:themeTint="D9"/>
              </w:rPr>
            </w:pPr>
            <w:r>
              <w:t>2,5</w:t>
            </w:r>
          </w:p>
          <w:p>
            <w:pPr>
              <w:ind w:left="-284" w:right="-427"/>
              <w:jc w:val="both"/>
              <w:rPr>
                <w:rFonts/>
                <w:color w:val="262626" w:themeColor="text1" w:themeTint="D9"/>
              </w:rPr>
            </w:pPr>
            <w:r>
              <w:t>3</w:t>
            </w:r>
          </w:p>
          <w:p>
            <w:pPr>
              <w:ind w:left="-284" w:right="-427"/>
              <w:jc w:val="both"/>
              <w:rPr>
                <w:rFonts/>
                <w:color w:val="262626" w:themeColor="text1" w:themeTint="D9"/>
              </w:rPr>
            </w:pPr>
            <w:r>
              <w:t>GENERALI</w:t>
            </w:r>
          </w:p>
          <w:p>
            <w:pPr>
              <w:ind w:left="-284" w:right="-427"/>
              <w:jc w:val="both"/>
              <w:rPr>
                <w:rFonts/>
                <w:color w:val="262626" w:themeColor="text1" w:themeTint="D9"/>
              </w:rPr>
            </w:pPr>
            <w:r>
              <w:t>Italia</w:t>
            </w:r>
          </w:p>
          <w:p>
            <w:pPr>
              <w:ind w:left="-284" w:right="-427"/>
              <w:jc w:val="both"/>
              <w:rPr>
                <w:rFonts/>
                <w:color w:val="262626" w:themeColor="text1" w:themeTint="D9"/>
              </w:rPr>
            </w:pPr>
            <w:r>
              <w:t>65.881</w:t>
            </w:r>
          </w:p>
          <w:p>
            <w:pPr>
              <w:ind w:left="-284" w:right="-427"/>
              <w:jc w:val="both"/>
              <w:rPr>
                <w:rFonts/>
                <w:color w:val="262626" w:themeColor="text1" w:themeTint="D9"/>
              </w:rPr>
            </w:pPr>
            <w:r>
              <w:t>70.430</w:t>
            </w:r>
          </w:p>
          <w:p>
            <w:pPr>
              <w:ind w:left="-284" w:right="-427"/>
              <w:jc w:val="both"/>
              <w:rPr>
                <w:rFonts/>
                <w:color w:val="262626" w:themeColor="text1" w:themeTint="D9"/>
              </w:rPr>
            </w:pPr>
            <w:r>
              <w:t>6,9</w:t>
            </w:r>
          </w:p>
          <w:p>
            <w:pPr>
              <w:ind w:left="-284" w:right="-427"/>
              <w:jc w:val="both"/>
              <w:rPr>
                <w:rFonts/>
                <w:color w:val="262626" w:themeColor="text1" w:themeTint="D9"/>
              </w:rPr>
            </w:pPr>
            <w:r>
              <w:t>4</w:t>
            </w:r>
          </w:p>
          <w:p>
            <w:pPr>
              <w:ind w:left="-284" w:right="-427"/>
              <w:jc w:val="both"/>
              <w:rPr>
                <w:rFonts/>
                <w:color w:val="262626" w:themeColor="text1" w:themeTint="D9"/>
              </w:rPr>
            </w:pPr>
            <w:r>
              <w:t>PRUDENTIAL</w:t>
            </w:r>
          </w:p>
          <w:p>
            <w:pPr>
              <w:ind w:left="-284" w:right="-427"/>
              <w:jc w:val="both"/>
              <w:rPr>
                <w:rFonts/>
                <w:color w:val="262626" w:themeColor="text1" w:themeTint="D9"/>
              </w:rPr>
            </w:pPr>
            <w:r>
              <w:t>Reino Unido</w:t>
            </w:r>
          </w:p>
          <w:p>
            <w:pPr>
              <w:ind w:left="-284" w:right="-427"/>
              <w:jc w:val="both"/>
              <w:rPr>
                <w:rFonts/>
                <w:color w:val="262626" w:themeColor="text1" w:themeTint="D9"/>
              </w:rPr>
            </w:pPr>
            <w:r>
              <w:t>35.882</w:t>
            </w:r>
          </w:p>
          <w:p>
            <w:pPr>
              <w:ind w:left="-284" w:right="-427"/>
              <w:jc w:val="both"/>
              <w:rPr>
                <w:rFonts/>
                <w:color w:val="262626" w:themeColor="text1" w:themeTint="D9"/>
              </w:rPr>
            </w:pPr>
            <w:r>
              <w:t>40.902</w:t>
            </w:r>
          </w:p>
          <w:p>
            <w:pPr>
              <w:ind w:left="-284" w:right="-427"/>
              <w:jc w:val="both"/>
              <w:rPr>
                <w:rFonts/>
                <w:color w:val="262626" w:themeColor="text1" w:themeTint="D9"/>
              </w:rPr>
            </w:pPr>
            <w:r>
              <w:t>14,0</w:t>
            </w:r>
          </w:p>
          <w:p>
            <w:pPr>
              <w:ind w:left="-284" w:right="-427"/>
              <w:jc w:val="both"/>
              <w:rPr>
                <w:rFonts/>
                <w:color w:val="262626" w:themeColor="text1" w:themeTint="D9"/>
              </w:rPr>
            </w:pPr>
            <w:r>
              <w:t>5</w:t>
            </w:r>
          </w:p>
          <w:p>
            <w:pPr>
              <w:ind w:left="-284" w:right="-427"/>
              <w:jc w:val="both"/>
              <w:rPr>
                <w:rFonts/>
                <w:color w:val="262626" w:themeColor="text1" w:themeTint="D9"/>
              </w:rPr>
            </w:pPr>
            <w:r>
              <w:t>ZURICH</w:t>
            </w:r>
          </w:p>
          <w:p>
            <w:pPr>
              <w:ind w:left="-284" w:right="-427"/>
              <w:jc w:val="both"/>
              <w:rPr>
                <w:rFonts/>
                <w:color w:val="262626" w:themeColor="text1" w:themeTint="D9"/>
              </w:rPr>
            </w:pPr>
            <w:r>
              <w:t>Suiza</w:t>
            </w:r>
          </w:p>
          <w:p>
            <w:pPr>
              <w:ind w:left="-284" w:right="-427"/>
              <w:jc w:val="both"/>
              <w:rPr>
                <w:rFonts/>
                <w:color w:val="262626" w:themeColor="text1" w:themeTint="D9"/>
              </w:rPr>
            </w:pPr>
            <w:r>
              <w:t>39.071</w:t>
            </w:r>
          </w:p>
          <w:p>
            <w:pPr>
              <w:ind w:left="-284" w:right="-427"/>
              <w:jc w:val="both"/>
              <w:rPr>
                <w:rFonts/>
                <w:color w:val="262626" w:themeColor="text1" w:themeTint="D9"/>
              </w:rPr>
            </w:pPr>
            <w:r>
              <w:t>39.494</w:t>
            </w:r>
          </w:p>
          <w:p>
            <w:pPr>
              <w:ind w:left="-284" w:right="-427"/>
              <w:jc w:val="both"/>
              <w:rPr>
                <w:rFonts/>
                <w:color w:val="262626" w:themeColor="text1" w:themeTint="D9"/>
              </w:rPr>
            </w:pPr>
            <w:r>
              <w:t>1,1</w:t>
            </w:r>
          </w:p>
          <w:p>
            <w:pPr>
              <w:ind w:left="-284" w:right="-427"/>
              <w:jc w:val="both"/>
              <w:rPr>
                <w:rFonts/>
                <w:color w:val="262626" w:themeColor="text1" w:themeTint="D9"/>
              </w:rPr>
            </w:pPr>
            <w:r>
              <w:t>6</w:t>
            </w:r>
          </w:p>
          <w:p>
            <w:pPr>
              <w:ind w:left="-284" w:right="-427"/>
              <w:jc w:val="both"/>
              <w:rPr>
                <w:rFonts/>
                <w:color w:val="262626" w:themeColor="text1" w:themeTint="D9"/>
              </w:rPr>
            </w:pPr>
            <w:r>
              <w:t>CNP ASSURANCES</w:t>
            </w:r>
          </w:p>
          <w:p>
            <w:pPr>
              <w:ind w:left="-284" w:right="-427"/>
              <w:jc w:val="both"/>
              <w:rPr>
                <w:rFonts/>
                <w:color w:val="262626" w:themeColor="text1" w:themeTint="D9"/>
              </w:rPr>
            </w:pPr>
            <w:r>
              <w:t>Francia</w:t>
            </w:r>
          </w:p>
          <w:p>
            <w:pPr>
              <w:ind w:left="-284" w:right="-427"/>
              <w:jc w:val="both"/>
              <w:rPr>
                <w:rFonts/>
                <w:color w:val="262626" w:themeColor="text1" w:themeTint="D9"/>
              </w:rPr>
            </w:pPr>
            <w:r>
              <w:t>27.419</w:t>
            </w:r>
          </w:p>
          <w:p>
            <w:pPr>
              <w:ind w:left="-284" w:right="-427"/>
              <w:jc w:val="both"/>
              <w:rPr>
                <w:rFonts/>
                <w:color w:val="262626" w:themeColor="text1" w:themeTint="D9"/>
              </w:rPr>
            </w:pPr>
            <w:r>
              <w:t>30.536</w:t>
            </w:r>
          </w:p>
          <w:p>
            <w:pPr>
              <w:ind w:left="-284" w:right="-427"/>
              <w:jc w:val="both"/>
              <w:rPr>
                <w:rFonts/>
                <w:color w:val="262626" w:themeColor="text1" w:themeTint="D9"/>
              </w:rPr>
            </w:pPr>
            <w:r>
              <w:t>11,4</w:t>
            </w:r>
          </w:p>
          <w:p>
            <w:pPr>
              <w:ind w:left="-284" w:right="-427"/>
              <w:jc w:val="both"/>
              <w:rPr>
                <w:rFonts/>
                <w:color w:val="262626" w:themeColor="text1" w:themeTint="D9"/>
              </w:rPr>
            </w:pPr>
            <w:r>
              <w:t>7</w:t>
            </w:r>
          </w:p>
          <w:p>
            <w:pPr>
              <w:ind w:left="-284" w:right="-427"/>
              <w:jc w:val="both"/>
              <w:rPr>
                <w:rFonts/>
                <w:color w:val="262626" w:themeColor="text1" w:themeTint="D9"/>
              </w:rPr>
            </w:pPr>
            <w:r>
              <w:t>CRÉDIT AGRICOLE ASSURANCES</w:t>
            </w:r>
          </w:p>
          <w:p>
            <w:pPr>
              <w:ind w:left="-284" w:right="-427"/>
              <w:jc w:val="both"/>
              <w:rPr>
                <w:rFonts/>
                <w:color w:val="262626" w:themeColor="text1" w:themeTint="D9"/>
              </w:rPr>
            </w:pPr>
            <w:r>
              <w:t>Francia</w:t>
            </w:r>
          </w:p>
          <w:p>
            <w:pPr>
              <w:ind w:left="-284" w:right="-427"/>
              <w:jc w:val="both"/>
              <w:rPr>
                <w:rFonts/>
                <w:color w:val="262626" w:themeColor="text1" w:themeTint="D9"/>
              </w:rPr>
            </w:pPr>
            <w:r>
              <w:t>25.701</w:t>
            </w:r>
          </w:p>
          <w:p>
            <w:pPr>
              <w:ind w:left="-284" w:right="-427"/>
              <w:jc w:val="both"/>
              <w:rPr>
                <w:rFonts/>
                <w:color w:val="262626" w:themeColor="text1" w:themeTint="D9"/>
              </w:rPr>
            </w:pPr>
            <w:r>
              <w:t>29.377</w:t>
            </w:r>
          </w:p>
          <w:p>
            <w:pPr>
              <w:ind w:left="-284" w:right="-427"/>
              <w:jc w:val="both"/>
              <w:rPr>
                <w:rFonts/>
                <w:color w:val="262626" w:themeColor="text1" w:themeTint="D9"/>
              </w:rPr>
            </w:pPr>
            <w:r>
              <w:t>14,3</w:t>
            </w:r>
          </w:p>
          <w:p>
            <w:pPr>
              <w:ind w:left="-284" w:right="-427"/>
              <w:jc w:val="both"/>
              <w:rPr>
                <w:rFonts/>
                <w:color w:val="262626" w:themeColor="text1" w:themeTint="D9"/>
              </w:rPr>
            </w:pPr>
            <w:r>
              <w:t>8</w:t>
            </w:r>
          </w:p>
          <w:p>
            <w:pPr>
              <w:ind w:left="-284" w:right="-427"/>
              <w:jc w:val="both"/>
              <w:rPr>
                <w:rFonts/>
                <w:color w:val="262626" w:themeColor="text1" w:themeTint="D9"/>
              </w:rPr>
            </w:pPr>
            <w:r>
              <w:t>TALANX</w:t>
            </w:r>
          </w:p>
          <w:p>
            <w:pPr>
              <w:ind w:left="-284" w:right="-427"/>
              <w:jc w:val="both"/>
              <w:rPr>
                <w:rFonts/>
                <w:color w:val="262626" w:themeColor="text1" w:themeTint="D9"/>
              </w:rPr>
            </w:pPr>
            <w:r>
              <w:t>Alemania</w:t>
            </w:r>
          </w:p>
          <w:p>
            <w:pPr>
              <w:ind w:left="-284" w:right="-427"/>
              <w:jc w:val="both"/>
              <w:rPr>
                <w:rFonts/>
                <w:color w:val="262626" w:themeColor="text1" w:themeTint="D9"/>
              </w:rPr>
            </w:pPr>
            <w:r>
              <w:t>28.151</w:t>
            </w:r>
          </w:p>
          <w:p>
            <w:pPr>
              <w:ind w:left="-284" w:right="-427"/>
              <w:jc w:val="both"/>
              <w:rPr>
                <w:rFonts/>
                <w:color w:val="262626" w:themeColor="text1" w:themeTint="D9"/>
              </w:rPr>
            </w:pPr>
            <w:r>
              <w:t>28.994</w:t>
            </w:r>
          </w:p>
          <w:p>
            <w:pPr>
              <w:ind w:left="-284" w:right="-427"/>
              <w:jc w:val="both"/>
              <w:rPr>
                <w:rFonts/>
                <w:color w:val="262626" w:themeColor="text1" w:themeTint="D9"/>
              </w:rPr>
            </w:pPr>
            <w:r>
              <w:t>3,0</w:t>
            </w:r>
          </w:p>
          <w:p>
            <w:pPr>
              <w:ind w:left="-284" w:right="-427"/>
              <w:jc w:val="both"/>
              <w:rPr>
                <w:rFonts/>
                <w:color w:val="262626" w:themeColor="text1" w:themeTint="D9"/>
              </w:rPr>
            </w:pPr>
            <w:r>
              <w:t>9</w:t>
            </w:r>
          </w:p>
          <w:p>
            <w:pPr>
              <w:ind w:left="-284" w:right="-427"/>
              <w:jc w:val="both"/>
              <w:rPr>
                <w:rFonts/>
                <w:color w:val="262626" w:themeColor="text1" w:themeTint="D9"/>
              </w:rPr>
            </w:pPr>
            <w:r>
              <w:t>AVIVA</w:t>
            </w:r>
          </w:p>
          <w:p>
            <w:pPr>
              <w:ind w:left="-284" w:right="-427"/>
              <w:jc w:val="both"/>
              <w:rPr>
                <w:rFonts/>
                <w:color w:val="262626" w:themeColor="text1" w:themeTint="D9"/>
              </w:rPr>
            </w:pPr>
            <w:r>
              <w:t>Reino Unido</w:t>
            </w:r>
          </w:p>
          <w:p>
            <w:pPr>
              <w:ind w:left="-284" w:right="-427"/>
              <w:jc w:val="both"/>
              <w:rPr>
                <w:rFonts/>
                <w:color w:val="262626" w:themeColor="text1" w:themeTint="D9"/>
              </w:rPr>
            </w:pPr>
            <w:r>
              <w:t>25.922</w:t>
            </w:r>
          </w:p>
          <w:p>
            <w:pPr>
              <w:ind w:left="-284" w:right="-427"/>
              <w:jc w:val="both"/>
              <w:rPr>
                <w:rFonts/>
                <w:color w:val="262626" w:themeColor="text1" w:themeTint="D9"/>
              </w:rPr>
            </w:pPr>
            <w:r>
              <w:t>26.996</w:t>
            </w:r>
          </w:p>
          <w:p>
            <w:pPr>
              <w:ind w:left="-284" w:right="-427"/>
              <w:jc w:val="both"/>
              <w:rPr>
                <w:rFonts/>
                <w:color w:val="262626" w:themeColor="text1" w:themeTint="D9"/>
              </w:rPr>
            </w:pPr>
            <w:r>
              <w:t>4,1</w:t>
            </w:r>
          </w:p>
          <w:p>
            <w:pPr>
              <w:ind w:left="-284" w:right="-427"/>
              <w:jc w:val="both"/>
              <w:rPr>
                <w:rFonts/>
                <w:color w:val="262626" w:themeColor="text1" w:themeTint="D9"/>
              </w:rPr>
            </w:pPr>
            <w:r>
              <w:t>10</w:t>
            </w:r>
          </w:p>
          <w:p>
            <w:pPr>
              <w:ind w:left="-284" w:right="-427"/>
              <w:jc w:val="both"/>
              <w:rPr>
                <w:rFonts/>
                <w:color w:val="262626" w:themeColor="text1" w:themeTint="D9"/>
              </w:rPr>
            </w:pPr>
            <w:r>
              <w:t>MAPFRE</w:t>
            </w:r>
          </w:p>
          <w:p>
            <w:pPr>
              <w:ind w:left="-284" w:right="-427"/>
              <w:jc w:val="both"/>
              <w:rPr>
                <w:rFonts/>
                <w:color w:val="262626" w:themeColor="text1" w:themeTint="D9"/>
              </w:rPr>
            </w:pPr>
            <w:r>
              <w:t>España</w:t>
            </w:r>
          </w:p>
          <w:p>
            <w:pPr>
              <w:ind w:left="-284" w:right="-427"/>
              <w:jc w:val="both"/>
              <w:rPr>
                <w:rFonts/>
                <w:color w:val="262626" w:themeColor="text1" w:themeTint="D9"/>
              </w:rPr>
            </w:pPr>
            <w:r>
              <w:t>21.836</w:t>
            </w:r>
          </w:p>
          <w:p>
            <w:pPr>
              <w:ind w:left="-284" w:right="-427"/>
              <w:jc w:val="both"/>
              <w:rPr>
                <w:rFonts/>
                <w:color w:val="262626" w:themeColor="text1" w:themeTint="D9"/>
              </w:rPr>
            </w:pPr>
            <w:r>
              <w:t>22.401</w:t>
            </w:r>
          </w:p>
          <w:p>
            <w:pPr>
              <w:ind w:left="-284" w:right="-427"/>
              <w:jc w:val="both"/>
              <w:rPr>
                <w:rFonts/>
                <w:color w:val="262626" w:themeColor="text1" w:themeTint="D9"/>
              </w:rPr>
            </w:pPr>
            <w:r>
              <w:t>2,6</w:t>
            </w:r>
          </w:p>
          <w:p>
            <w:pPr>
              <w:ind w:left="-284" w:right="-427"/>
              <w:jc w:val="both"/>
              <w:rPr>
                <w:rFonts/>
                <w:color w:val="262626" w:themeColor="text1" w:themeTint="D9"/>
              </w:rPr>
            </w:pPr>
            <w:r>
              <w:t>TOTAL 5 PRIMEROS</w:t>
            </w:r>
          </w:p>
          <w:p>
            <w:pPr>
              <w:ind w:left="-284" w:right="-427"/>
              <w:jc w:val="both"/>
              <w:rPr>
                <w:rFonts/>
                <w:color w:val="262626" w:themeColor="text1" w:themeTint="D9"/>
              </w:rPr>
            </w:pPr>
            <w:r>
              <w:t>298.367</w:t>
            </w:r>
          </w:p>
          <w:p>
            <w:pPr>
              <w:ind w:left="-284" w:right="-427"/>
              <w:jc w:val="both"/>
              <w:rPr>
                <w:rFonts/>
                <w:color w:val="262626" w:themeColor="text1" w:themeTint="D9"/>
              </w:rPr>
            </w:pPr>
            <w:r>
              <w:t>310.976</w:t>
            </w:r>
          </w:p>
          <w:p>
            <w:pPr>
              <w:ind w:left="-284" w:right="-427"/>
              <w:jc w:val="both"/>
              <w:rPr>
                <w:rFonts/>
                <w:color w:val="262626" w:themeColor="text1" w:themeTint="D9"/>
              </w:rPr>
            </w:pPr>
            <w:r>
              <w:t>4,2</w:t>
            </w:r>
          </w:p>
          <w:p>
            <w:pPr>
              <w:ind w:left="-284" w:right="-427"/>
              <w:jc w:val="both"/>
              <w:rPr>
                <w:rFonts/>
                <w:color w:val="262626" w:themeColor="text1" w:themeTint="D9"/>
              </w:rPr>
            </w:pPr>
            <w:r>
              <w:t>TOTAL 10 PRIMEROS</w:t>
            </w:r>
          </w:p>
          <w:p>
            <w:pPr>
              <w:ind w:left="-284" w:right="-427"/>
              <w:jc w:val="both"/>
              <w:rPr>
                <w:rFonts/>
                <w:color w:val="262626" w:themeColor="text1" w:themeTint="D9"/>
              </w:rPr>
            </w:pPr>
            <w:r>
              <w:t>427.395</w:t>
            </w:r>
          </w:p>
          <w:p>
            <w:pPr>
              <w:ind w:left="-284" w:right="-427"/>
              <w:jc w:val="both"/>
              <w:rPr>
                <w:rFonts/>
                <w:color w:val="262626" w:themeColor="text1" w:themeTint="D9"/>
              </w:rPr>
            </w:pPr>
            <w:r>
              <w:t>449.279</w:t>
            </w:r>
          </w:p>
          <w:p>
            <w:pPr>
              <w:ind w:left="-284" w:right="-427"/>
              <w:jc w:val="both"/>
              <w:rPr>
                <w:rFonts/>
                <w:color w:val="262626" w:themeColor="text1" w:themeTint="D9"/>
              </w:rPr>
            </w:pPr>
            <w:r>
              <w:t>5,1</w:t>
            </w:r>
          </w:p>
          <w:p>
            <w:pPr>
              <w:ind w:left="-284" w:right="-427"/>
              <w:jc w:val="both"/>
              <w:rPr>
                <w:rFonts/>
                <w:color w:val="262626" w:themeColor="text1" w:themeTint="D9"/>
              </w:rPr>
            </w:pPr>
            <w:r>
              <w:t>Fuente: FUNDACIÓN MAPFRE. Elaboración propia a partir de los informes anuales de los grupos aseguradores</w:t>
            </w:r>
          </w:p>
          <w:p>
            <w:pPr>
              <w:ind w:left="-284" w:right="-427"/>
              <w:jc w:val="both"/>
              <w:rPr>
                <w:rFonts/>
                <w:color w:val="262626" w:themeColor="text1" w:themeTint="D9"/>
              </w:rPr>
            </w:pPr>
            <w:r>
              <w:t>Los rankings completos pueden consultarse en los siguientes enlaces:</w:t>
            </w:r>
          </w:p>
          <w:p>
            <w:pPr>
              <w:ind w:left="-284" w:right="-427"/>
              <w:jc w:val="both"/>
              <w:rPr>
                <w:rFonts/>
                <w:color w:val="262626" w:themeColor="text1" w:themeTint="D9"/>
              </w:rPr>
            </w:pPr>
            <w:r>
              <w:t>http://www.mapfre.com/documentacion/publico/i18n/catalogo_imagenes/grupo.cmd?path=1084018</w:t>
            </w:r>
          </w:p>
          <w:p>
            <w:pPr>
              <w:ind w:left="-284" w:right="-427"/>
              <w:jc w:val="both"/>
              <w:rPr>
                <w:rFonts/>
                <w:color w:val="262626" w:themeColor="text1" w:themeTint="D9"/>
              </w:rPr>
            </w:pPr>
            <w:r>
              <w:t>http://www.mapfre.com/documentacion/publico/i18n/catalogo_imagenes/grupo.cmd?path=1084020</w:t>
            </w:r>
          </w:p>
                      Categorías:   
          <w:p>
            <w:pPr>
              <w:ind w:left="-284" w:right="-427"/>
              <w:jc w:val="both"/>
              <w:rPr>
                <w:rFonts/>
                <w:color w:val="262626" w:themeColor="text1" w:themeTint="D9"/>
              </w:rPr>
            </w:pPr>
            <w:r>
              <w:t>  Rankings    </w:t>
            </w:r>
          </w:p>
              Entidades:   
          <w:p>
            <w:pPr>
              <w:ind w:left="-284" w:right="-427"/>
              <w:jc w:val="both"/>
              <w:rPr>
                <w:rFonts/>
                <w:color w:val="262626" w:themeColor="text1" w:themeTint="D9"/>
              </w:rPr>
            </w:pPr>
            <w:r>
              <w:t>MAPFRE</w:t>
            </w:r>
          </w:p>
          <w:p>
            <w:pPr>
              <w:ind w:left="-284" w:right="-427"/>
              <w:jc w:val="both"/>
              <w:rPr>
                <w:rFonts/>
                <w:color w:val="262626" w:themeColor="text1" w:themeTint="D9"/>
              </w:rPr>
            </w:pPr>
            <w:r>
              <w:t>FUNDACIÓN MAPFRE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https://www.notasdeprensa.es/mapfre-entre-las-cinco-mayores-entidades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