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Málaga CF y CA Boca Juniors alcanzan un acuerdo para la cesión de Pablo Pérez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Málaga Club de Fútbol y el Club Atlético Boca Juniors han llegado a un acuerdo para que Pablo Pérez juegue cedido en el afamado club argentino hasta la temporada 2015/16, terminada la cual la entidad xeneize tendrá una opción de compra del jugador. Procedente del Club Atlético Newell’s Old Boys, Pablo Pérez llegó al Málaga CF en el mercado invernal de la 2013/14, temporada en la que disputó un total de 11 partidos oficiales de la Liga BBVA en los que anotó un gol.</w:t>
            </w:r>
          </w:p>
          <w:p>
            <w:pPr>
              <w:ind w:left="-284" w:right="-427"/>
              <w:jc w:val="both"/>
              <w:rPr>
                <w:rFonts/>
                <w:color w:val="262626" w:themeColor="text1" w:themeTint="D9"/>
              </w:rPr>
            </w:pPr>
            <w:r>
              <w:t>	La entidad de Martiricos quiere desearle mucha suerte a Pablo Pérez durante el período de cesión en el Club Atlético Boca Juniors.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Málaga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https://www.notasdeprensa.es/malaga-cf-y-ca-boca-juniors-alcanzan-un_1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