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 potencia el esfuerzo para convertirse en una de las grandes capitales del arbitraje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Madrid se ha convertido en una región de referencia a nivel internacional, con el PIB más elevado de todo el país y que absorbe más del 50 por ciento de la inversión extranjera que se recibe. Un escenario que exige potenciar a Madrid como una de las grandes capitales del arbitraje internacional, según el contundente mensaje de la consejera de Economía, Hacienda y Empleo de la Comunidad de Madrid, Rocío Albert López-Ibor, en la sesión de inauguración los Little Open (LO) de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de Economía, Hacienda y Empleo de la Comunidad de Madrid, Rocío Albert López-Ibor también ha destacado que Madrid está muy bien comunicada con el mundo, con una oferta complementaria muy potente y competitiva que la hacen única como capital de arbitraje internacional. Además del impulso que se está dando a Invest in Madrid como agencia para canalizar las inversiones internacionales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Javier Íscar ha insistido en la capacidad histórica de Madrid de acoger a ciudadanos de todo el mundo y que se sientan en casa. Alfonso Iglesia, socio Director del Grupo de Arbitraje Internacional de Cuatrecasas, ha añadido la solidez de la comunidad arbitral de Madrid como cualidad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próxima alianza de CIAM y CIAR es esencial para impulsar Madrid como capital del arbitraje internacionalLa próxima alianza del Centro Internacional de Arbitraje de Madrid (CIAM) y el Centro Iberoamericano de Arbitraje (CIAR), que llevará por nombre CIAM-CIAR, también fue destacado por Rocío Albert López-Ibor como un aspecto único e imprescindible para impulsar a Madrid como capital internacional del arbitraje internacional.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se destacó que entre el 25 y el 30 por ciento de los arbitrajes internacionales corresponde al mercado hispano-luso parlante y que, sin embargo, se están resolviendo, en su amplia mayoría, en sedes anglófonas. En este sentido, también se destacó la posición histórica de Madrid como trampolín para Iberoamérica.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del arbitraje en la actual sociedad han sido también destacadas por la consejera de Economía, Hacienda y Empleo que indicó:"es un sistema muy eficiente en una sociedad que se enfrenta a problemas cada vez más complejos, en la medida que las relaciones comerciales son más sofisticadas". Además de la ventaja de que permita descongestionar los tribunales.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cita de los Little Open ha contado con una mesa de debate con la participación de Marta la Laguna, Secretaria General de la CIAM que ejerció de moderadora; Carlos F. Concepción, Socio Director en Concepción Global PLLC: Alma Gómez Valdés, Head of International Arbitration – TR Group y Alfonso Gómez Acebo, Socio en Cuatrecases arbitraje internacional.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de Arbitraje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606567066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https://www.notasdeprensa.es/madrid-potencia-el-esfuerzo-para-convertirse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Madrid Eventos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