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25/11/2015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Los Registros de Emisiones y Transferencias de Contaminantes, herramientas para el desarrollo sostenible 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secretario de Estado de Medio Ambiente inaugura un foro sobre Registros de Emisiones y Transferencias de Contaminantes, dentro de la “Semana Internacional PRTR”, en el marco del Acuerdo con la ONU para su celebración, junto a otras dos reuniones sobre estos registros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El secretario de Estado de Medio Ambiente, Pablo Saavedra, haasegurado hoy que los Registros de Emisiones y Transferencias de Contaminantes, más conocidos como PRTR, son herramientas esenciales en el desarrollo sostenible, potenciando los principios de transparencia y de acceso a la información.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Así lo ha afirmado Saavedra durante la inauguración de la2ª reunión de la Mesa Redonda Mundial sobre los Registros de Emisiones y Transferencias de Contaminantes,dentro de la “Semana Internacional PRTR”, que tiene lugar en Madrid, en el marco del Acuerdo con la ONU para su celebración, junto a otras dos reuniones sobre los registros de emisiones y transferencia de contaminantes.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Estas sesiones de trabajo de los principales grupos y foros internacionales en temas PRTR tienen lugar como parte del compromiso de España de promover la implantación y desarrollo de los principios del Protocolo de Kiev, en el marco del Convenio de Aarhus sobre el derecho de acceso a la información, a la participación en los procedimientos de toma de decisión y el acceso a la justicia en temas ambientales.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La celebración conjunta de estas reuniones en Madrid, corrobora la presencia y participación española a escala global en el mundo de los registros PRTR, ha destacado Pablo Saavedra.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Apoyo técnico de España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España, a través del Ministerio y de PRTR-España, participa y da apoyo técnico a diferentes iniciativas y proyectos internacionales del Programa de Naciones Unidas para el Medio Ambiente (PNUMA) con el Instituto de las Naciones Unidas para la Formación y la Investigación (UNITAR), de la propia Comisión Económica para Europa,  de la Organización para la Cooperación y el Desarrollo Económico y de la Unión Europea.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También ha financiado directamente proyectos en Iberoamérica, a través de la Comisión Centroamericana de Ambiente y Desarrollo (CCAD).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 Se ha referido a la experiencia española de que los registros PRTR son “instrumentos esenciales de información ambiental” y ha citado como ejemplo, en este sentido, que la información pública del registro español PRTR-España ha recibido, desde 2009, más de seis millones y medio de visitas, con una media en los dos últimos años de 100.000 visitas mensuales.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Por último, el secretario de Estado ha concluido que en España apostamos claramente por facilitar las sinergias de los diferentes foros internacionales de los registros PRTR y que por ello ha confiado en que esta “Semana Internacional PRTR”, “represente la coordinación entre los organismos responsables y ofrezca una visión global de conjunto, dando forma y continuidad a la primera experiencia llevada a cabo en la sede de Naciones Unidas en Ginebra hace dos años”.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https://www.notasdeprensa.es/los-registros-de-emisiones-y-transferencias-de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Ecología Industria Alimentaria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