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23/12/2013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Los precios de las importaciones en Canarias aumentaron un 6,5% en septiembre de 2013 con respecto al mismo mes de 2012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Los precios de los bienes importados en la Comunidad Autónoma de Canarias aumentaron un 6,5% en septiembre de 2013 con respecto al mismo mes del año anterior. Por otra parte, para los bienes exportados se ha producido una bajada del 14,8%.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Teniendo en cuenta la clasificación de los bienes por destino económico, la variación interanual de los precios de las importaciones de bienes de consumo se situó en el 2,0%. Las importaciones de bienes intermedios experimentaron un ascenso del 10,7%, mientras que las de bienes de capital subieron un 1,8%. Si se consideran sólo los bienes no energéticos, la variación interanual se situó en el 2,9%. En lo que respecta a las exportaciones, se han producido descensos del 4,5% en los precios de bienes de consumo, del 15,4% en los de bienes intermedios y del 38,5% en los de capital. Por su parte, para las exportaciones de bienes no energéticos se tiene una tasa de variación del -10,9%.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Por origen geográfico, ha habido aumentos del 5,5% en las importaciones desde el resto de España, del 10,4% desde el resto de la Unión Europea y del 5,3% desde el resto del Mundo. Teniendo en cuenta las exportaciones, se han producido bajadas del 6,8% en los precios de exportación al resto de España, del 18,6% al resto de la Unión Europea y del 14,8% al resto del Mundo.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Instituto de Estadistica de Canarias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https://www.notasdeprensa.es/los-precios-de-las-importaciones-en-canarias_4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Canarias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