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precios de las importaciones en Canarias disminuyeron un 5,9% en mayo de 2014 con respecto al mismo mes de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 de los bienes importados en la Comunidad Autónoma de Canarias han disminuido provisionalmente un 5,9% en mayo de 2014 con respecto al mismo mes del año anterior. Por otra parte, para los bienes exportados también se ha producido una bajada del 6,7%.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la clasificación de los bienes por destino económico, la variación interanual de los precios de las importaciones de bienes de consumo se situó en el 1,3%. Las importaciones de bienes intermedios experimentaron un descenso del 10,0%, mientras que las de bienes de capital también bajaron un 13,5%. Si se consideran sólo los bienes no energéticos, la variación interanual se situó en el -2,3%. En lo que respecta a las exportaciones, se ha producido decrementos del 6,6% en los precios de bienes de consumo, del 4,5% en los de bienes intermedios y del 36,6% en los de capital. Por su parte, para las exportaciones de bienes no energéticos se tiene una tasa de variación del -3,4%.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origen geográfico, han habido descensos del 1,5% en las importaciones desde el resto de España, del 2,4% desde el resto de la Unión Europea y del 22,9% desde el resto del Mundo. Teniendo en cuenta las exportaciones, se han producido bajadas del 6,4% en los precios de exportación al resto de España, del 13,1% al resto de la Unión Europea y del 1,7% en las exportaciones al resto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https://www.notasdeprensa.es/los-precios-de-las-importaciones-en-canarias_3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