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pacientes renales españoles tienen acceso a una tecnología innovadora en su tratamiento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Nefrología tiene como objetivo velar por la calidad de vida de las personas que sufren la enfermedad renal crónica y requieren de tratamientos de diálisis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enfermedad renal crónica (ERC) constituye en la actualidad un problema sanitario, social y económico que afecta aproximadamente al 10%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avances terapéuticos contra esta enfermedad han sido fundamentales para atender el creciente número de casos provocados principalmente por el aumento de la esperanza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los pacientes renales tienen acceso a la tecnología más innovadora y su indicación y uso más eficiente está determinado por criterios asistenciales asociados a cada situación y establecidos por cada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investigación en Nefrología se orienta hacia la mejora de la supervivencia de los enfermos, modular el proceso de cicatrización e infección y la implantación de medidas preventivas para retrasar la aparición de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industria, comprometida con la mejora de la calidad asistencial de los pacientes renales en tratamientos con hemodiálisis, ha desarrollado productos que presentan una mayor tolerancia a las sesiones de diálisis.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escenario, el valor que aporta el sector de Tecnología Sanitaria a través del servicio, el equipamiento y el material fungible de aplicación al tratamiento de las enfermedades renales, lo han convertido en un sector estratégico y reconocido por su capacidad para optimizar la calidad de vida de los pacientes renales y su entorno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conclusiones del III Encuentro de la Fundación Tecnología y Salud "El paciente experto. Tecnología y cronicidad en el paciente nefrológico" recogen los retos y necesidades de cada uno de los agentes implicados en el abordaje del paciente renal.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FENIN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https://www.notasdeprensa.es/los-pacientes-renales-espanoles-tienen-acceso_1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