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países para invertir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fondos de capital riesgo y capital privado continúan buscando buenas oportunidades en las regiones emergentes, especialmente ahora que la economía europea está estancada y Estados Unidos crece a un ritmo más lento de lo esperado.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Para ayudar a los inversores a identificar las mejores oportunidades, el Centro de Investigación Financiera del IESE, en colaboración con Ernst  and  Young, ha publicado "The Venture Capital and Private Equity Country Attractiveness Index 2013". Esta cuarta edición incorpora a Bielorrusia y Camboya, con lo que el número total de países del índice se eleva a 118.</w:t>
            </w:r>
          </w:p>
          <w:p>
            <w:pPr>
              <w:ind w:left="-284" w:right="-427"/>
              <w:jc w:val="both"/>
              <w:rPr>
                <w:rFonts/>
                <w:color w:val="262626" w:themeColor="text1" w:themeTint="D9"/>
              </w:rPr>
            </w:pPr>
            <w:r>
              <w:t>	Una brecha que se va cerrando</w:t>
            </w:r>
          </w:p>
          <w:p>
            <w:pPr>
              <w:ind w:left="-284" w:right="-427"/>
              <w:jc w:val="both"/>
              <w:rPr>
                <w:rFonts/>
                <w:color w:val="262626" w:themeColor="text1" w:themeTint="D9"/>
              </w:rPr>
            </w:pPr>
            <w:r>
              <w:t>	Los cinco primeros países de 2012 repiten puesto un año después: Estados Unidos encabeza el ranking, seguido muy de cerca por Canadá, Reino Unido, Japón y Singapur. De todas formas, la diferencia entre este grupo y sus seguidores se ha estrechado notablemente en relación con ediciones anteriores.</w:t>
            </w:r>
          </w:p>
          <w:p>
            <w:pPr>
              <w:ind w:left="-284" w:right="-427"/>
              <w:jc w:val="both"/>
              <w:rPr>
                <w:rFonts/>
                <w:color w:val="262626" w:themeColor="text1" w:themeTint="D9"/>
              </w:rPr>
            </w:pPr>
            <w:r>
              <w:t>	Eso sí, los mercados más valorados siguen liderando todos los apartados, con la evidente excepción de la actividad económica. Estados Unidos, por ejemplo, normalmente despunta con diferencia en el área de los mercados de capitales.</w:t>
            </w:r>
          </w:p>
          <w:p>
            <w:pPr>
              <w:ind w:left="-284" w:right="-427"/>
              <w:jc w:val="both"/>
              <w:rPr>
                <w:rFonts/>
                <w:color w:val="262626" w:themeColor="text1" w:themeTint="D9"/>
              </w:rPr>
            </w:pPr>
            <w:r>
              <w:t>	Los nuevos BRICS</w:t>
            </w:r>
          </w:p>
          <w:p>
            <w:pPr>
              <w:ind w:left="-284" w:right="-427"/>
              <w:jc w:val="both"/>
              <w:rPr>
                <w:rFonts/>
                <w:color w:val="262626" w:themeColor="text1" w:themeTint="D9"/>
              </w:rPr>
            </w:pPr>
            <w:r>
              <w:t>	El índice pone de manifiesto el gran interés que despiertan no solo los BRICS (Brasil, Rusia, India, China y Sudáfrica), sino también otras economías emergentes como Turquía, México, Indonesia, Nigeria o Filipinas. Se trata de un dato que debería animar a los inversores a mirar más allá de los mercados considerados "de moda".</w:t>
            </w:r>
          </w:p>
          <w:p>
            <w:pPr>
              <w:ind w:left="-284" w:right="-427"/>
              <w:jc w:val="both"/>
              <w:rPr>
                <w:rFonts/>
                <w:color w:val="262626" w:themeColor="text1" w:themeTint="D9"/>
              </w:rPr>
            </w:pPr>
            <w:r>
              <w:t>	En todo caso, la encuesta revela que los inversores siguen albergando dudas respecto a los países emergentes, sobre todo en lo referente al contraste entre las enormes oportunidades de crecimiento y una infraestructura deficiente de los mercados financieros.</w:t>
            </w:r>
          </w:p>
          <w:p>
            <w:pPr>
              <w:ind w:left="-284" w:right="-427"/>
              <w:jc w:val="both"/>
              <w:rPr>
                <w:rFonts/>
                <w:color w:val="262626" w:themeColor="text1" w:themeTint="D9"/>
              </w:rPr>
            </w:pPr>
            <w:r>
              <w:t>	Este desequilibrio conlleva un alto coste en protección del inversor, gobierno corporativo, entorno humano y social y cultura emprendedora, indicadores en los que obtienen mejores puntuaciones los países desarrollados. Además, en general, las oportunidades de negocio no están tan perfiladas.</w:t>
            </w:r>
          </w:p>
          <w:p>
            <w:pPr>
              <w:ind w:left="-284" w:right="-427"/>
              <w:jc w:val="both"/>
              <w:rPr>
                <w:rFonts/>
                <w:color w:val="262626" w:themeColor="text1" w:themeTint="D9"/>
              </w:rPr>
            </w:pPr>
            <w:r>
              <w:t>	Leer artículo completo en IESE Insight.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https://www.notasdeprensa.es/los-mejores-paises-para-invertir-en-2013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