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02/03/2015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ingresos de Indra crecieron un 5% en 2014 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2014 las ventas totales de Indra alcanzan 2.938 M€, lo que representa un crecimiento del 5% en moneda local y del 1% en términos reportados (en euros).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áreas geográficas, destaca el comportamiento de Latinoamérica, que ha crecido un 10% en moneda local y el de Europa y Norteamérica, con un incremento del 7% en moneda local. España (que representa el 39% del total), tras cuatro años de caída, tiene un comportamiento plano.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moneda local, todos los verticales crecen: Servicios Financieros aumenta un 9%; Administraciones Públicas y Sanidad, un 7%; Transporte y Tráfico, un 5%; Seguridad y Defensa, un 3%; Energía e Industria, un 3%; Telecomunicaciones y Media, un 2%.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contratación crece un 4% en moneda local y destaca el crecimiento en moneda local de doble digito en Latinoamérica y en AMEA y, por verticales, el de Transporte  and Tráfico, Servicios Financieros y Administraciones Públicas  and  Sanidad. Este aumento en contratación ha elevado la cartera de pedidos hasta 3.473 M€ (+3% en moneda local) lo que representa 1,2 veces las ventas de los últimos 12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margen EBIT recurrente se sitúa en el 6,9% y el resultado neto antes de los efectos no recurrentes hubiera sido 104 M€.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Durante 2014 la evolución del negocio de Indra se ha visto influida por: el deterioro del entorno macroeconómico en las economías exportadoras de materias primas; el efecto de la devaluación de las divisas latinoamericanas; presiones en precios; mayores costes de ejecución en algunos proyectos. Factores que se han intensificado durante el último trimestre del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cuarto trimestre, tras una revisión en profundidad, se han realizado efectos no recurrentes por cambios en estimados en proyectos, intangibles, fondos de comercio y créditos fiscales que se han visto particularmente impactados por las tendencias de negocio descritas anteriormente. Dichos efectos no recurrentes ascienden a un importe bruto antes de impuestos de 313M€ y su impacto total en el Resultado Atribuible ha sido de 196M€.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principales efectos no recurrentes son: 231M€ correspondiente a provisiones, deterioros y sobrecostes en proyectos por retrasos, reprogramaciones y cancelaciones de programas, así como cambio de estimaciones debido a acontecimientos o situaciones litigiosas ocurridos en la última parte del año 2014 y a principios de 2015; 19M€ por depreciación de activos intangibles, ya que durante el test anual se ha concluido que la recuperación comercial de algunas inversiones está evolucionando más lentamente de lo esperado; 21M€ se deben al test de deterioro de los fondos de comercio que aconseja reducir el fondo de comercio de Brasil en 17M€ y el de Indra Business Consulting en 4M€; 19M€ deterioro crédito fiscal en Brasil; 17M€ al plan de adecuación y mejora de la eficiencia de los recursos.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Tras el impacto negativo de estos efectos, el resultado neto del ejercicio es de -92 M€.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generación de cash-flow libre asciende a 47 M€ por encima de 27M€ en 2013 en términos comparables y por debajo de los objetivos fijados para el ejercicio.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deuda neta se ha situado en 663M€ frente a 622M€ a cierre de 2013 y representa un nivel de apalancamiento de 2,5 veces EBITDA.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Indra realizará una reunión con inversores institucionales y analistas en el mes de junio para avanzar las líneas estratégicas de la compañía, así como los planes de acción e indicaciones financieras a medio plazo.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VENTAS POR MERCADOS VERTICALES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PRINCIPALES MAGNITUDES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(1) Antes de efectos no recurrentes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(2) El FCL 2013 ajustado por el impacto de la desinversión de la rama de actividad de gestión avanzada de documentación digital fue de 27 M€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https://www.notasdeprensa.es/los-ingresos-de-indra-crecieron-un-5-en-2014_1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