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02/03/2015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ingresos de Indra crecieron un 5% en 2014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2014 las ventas totales de Indra alcanzan 2.938 M€, lo que representa un crecimiento del 5% en moneda local y del 1% en términos reportados (en euros).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áreas geográficas, destaca el comportamiento de Latinoamérica, que ha crecido un 10% en moneda local y el de Europa y Norteamérica, con un incremento del 7% en moneda local. España (que representa el 39% del total), tras cuatro años de caída, tiene un comportamiento plano.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moneda local, todos los verticales crecen: Servicios Financieros aumenta un 9%; Administraciones Públicas y Sanidad, un 7%; Transporte y Tráfico, un 5%; Seguridad y Defensa, un 3%; Energía e Industria, un 3%; Telecomunicaciones y Media, un 2%.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contratación crece un 4% en moneda local y destaca el crecimiento en moneda local de doble digito en Latinoamérica y en AMEA y, por verticales, el de Transporte  and Tráfico, Servicios Financieros y Administraciones Públicas  and  Sanidad. Este aumento en contratación ha elevado la cartera de pedidos hasta 3.473 M€ (+3% en moneda local) lo que representa 1,2 veces las ventas de los últimos 12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margen EBIT recurrente se sitúa en el 6,9% y el resultado neto antes de los efectos no recurrentes hubiera sido 104 M€.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Durante 2014 la evolución del negocio de Indra se ha visto influida por: el deterioro del entorno macroeconómico en las economías exportadoras de materias primas; el efecto de la devaluación de las divisas latinoamericanas; presiones en precios; mayores costes de ejecución en algunos proyectos. Factores que se han intensificado durante el último trimestre del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el cuarto trimestre, tras una revisión en profundidad, se han realizado efectos no recurrentes por cambios en estimados en proyectos, intangibles, fondos de comercio y créditos fiscales que se han visto particularmente impactados por las tendencias de negocio descritas anteriormente. Dichos efectos no recurrentes ascienden a un importe bruto antes de impuestos de 313M€ y su impacto total en el Resultado Atribuible ha sido de 196M€.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principales efectos no recurrentes son: 231M€ correspondiente a provisiones, deterioros y sobrecostes en proyectos por retrasos, reprogramaciones y cancelaciones de programas, así como cambio de estimaciones debido a acontecimientos o situaciones litigiosas ocurridos en la última parte del año 2014 y a principios de 2015; 19M€ por depreciación de activos intangibles, ya que durante el test anual se ha concluido que la recuperación comercial de algunas inversiones está evolucionando más lentamente de lo esperado; 21M€ se deben al test de deterioro de los fondos de comercio que aconseja reducir el fondo de comercio de Brasil en 17M€ y el de Indra Business Consulting en 4M€; 19M€ deterioro crédito fiscal en Brasil; 17M€ al plan de adecuación y mejora de la eficiencia de los recursos.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Tras el impacto negativo de estos efectos, el resultado neto del ejercicio es de -92 M€.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generación de cash-flow libre asciende a 47 M€ por encima de 27M€ en 2013 en términos comparables y por debajo de los objetivos fijados para el ejercicio.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deuda neta se ha situado en 663M€ frente a 622M€ a cierre de 2013 y representa un nivel de apalancamiento de 2,5 veces EBITDA.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Indra realizará una reunión con inversores institucionales y analistas en el mes de junio para avanzar las líneas estratégicas de la compañía, así como los planes de acción e indicaciones financieras a medio plazo.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VENTAS POR MERCADOS VERTICALES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PRINCIPALES MAGNITUDES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(1) Antes de efectos no recurrentes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(2) El FCL 2013 ajustado por el impacto de la desinversión de la rama de actividad de gestión avanzada de documentación digital fue de 27 M€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https://www.notasdeprensa.es/los-ingresos-de-indra-crecieron-un-5-en-2014_1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