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índices de ocupación hotelera  en Canariaas esperados para enero, febrero y marzo son 79%, 73% y 67% respectivamente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52,8% de los gestores de los establecimientos hoteleros de Canarias considera que la marcha de su negocio durante el primer trimestre de 2014 será favorable mientras que 5,2% opina que será desfavorable. Aproximadamente el 42% restante considera que será normal. Por tanto, la diferencia entre los porcentajes de las respuestas favorables y las desfavorables, denominada Balance de Expectativas, se sitúa en 47,5 puntos para el total de Canarias.</w:t>
            </w:r>
          </w:p>
          <w:p>
            <w:pPr>
              <w:ind w:left="-284" w:right="-427"/>
              <w:jc w:val="both"/>
              <w:rPr>
                <w:rFonts/>
                <w:color w:val="262626" w:themeColor="text1" w:themeTint="D9"/>
              </w:rPr>
            </w:pPr>
            <w:r>
              <w:t>	Respecto a la tendencia del grado de ocupación para el primer trimestre, en relación a 2013, el 43,1% de los hoteleros considera que subirá, mientras que el 8,2% opina que descenderá, lo que significa un saldo positivo para Canarias de 34,9 puntos. En ese sentido los hoteleros esperan que para el mes de enero el índice de ocupación hotelera se sitúe en el 79%, para febrero en el 73% y para marzo en el 67%. El Índice de Confianza Hotelera (ICH), calculado en base primer trimestre 2013 para armonizarlo con el Índice de Confianza Empresarial(ICE), gana veintidós puntos respecto al primer trimestre de 2013 pasando de 100 a 121,8.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Instituto de Estadistica de Canarias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https://www.notasdeprensa.es/los-indices-de-ocupacion-hotelera-en-canariaas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