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de acreedores cumplen 12 meses consecutivos de caída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concursos de acreedores por parte de sociedades mercantiles lograron cerrar en octubre un año completo de caída en tasa interanual, consolidando así el cambio de tendencia iniciado precisamente en noviembre del año pasado. En octubre se registraron 674 procesos formales de insolvencia, lo que supone un retroceso del 24,78% respecto a octubre de 2013, según los datos recopilados por el Gabinete de Estudios Económicos de Axesor, primera agencia de rating espa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concursos de acreedores por parte de sociedades mercantiles lograron cerrar en octubre un año completo de caída en tasa interanual, consolidando así el cambio de tendencia iniciado precisamente en noviembre del año pasado. En octubre se registraron 674 procesos formales de insolvencia, lo que supone un retroceso del 24,78% respecto a octubre de 2013, según los datos recopilados por el Gabinete de Estudios Económicos de Axesor, primera agencia de rating española. El dato implica un incremento notable sobre los concursos registrados en septiembre (428) y, de hecho, es la cifra mensual más elevada desde el pasado mes de marzo. Sin embargo, este repunte es habitual en el tramo final del año y los 674 procesos iniciados suponen el mejor mes de octubre desde el año 2011. La cifra es incluso inferior a la de noviembre de 2013, cuando se inició la actual tendencia bajista y en el que se registraron 701 casos.</w:t>
            </w:r>
          </w:p>
          <w:p>
            <w:pPr>
              <w:ind w:left="-284" w:right="-427"/>
              <w:jc w:val="both"/>
              <w:rPr>
                <w:rFonts/>
                <w:color w:val="262626" w:themeColor="text1" w:themeTint="D9"/>
              </w:rPr>
            </w:pPr>
            <w:r>
              <w:t>En el cómputo de enero a octubre, el saldo es de 5.525 procesos iniciados; son 2.000 menos que en el mismo periodo de 2013, que fue un año récord desde que la ley unificó hace 10 años quiebras y suspensiones de pagos. Los números de 2014 implican una caída en términos porcentuales del 26,57%. Todas las comunidades autónomas experimentan caídas en la comparativa interanual para el periodo enero-octubre. Si se mantiene el actual ritmo, la estadística se quedará probablemente por debajo de los 7.000 concursos, algo que no sucede desde el año 2011. Además del efecto base estadística de la comparativa con 2013, los principales factores que explican la mejoría del panorama concursal son la incipiente recuperación económica, la madurez del ajuste en el sector de la construcción y las reformas legales aprobadas por el Gobierno para agilizar los procesos concursales y propiciar mayores oportunidades de acuerdo entre empresas y acreedores.</w:t>
            </w:r>
          </w:p>
           Evolución por CCAA y provincias 
          <w:p>
            <w:pPr>
              <w:ind w:left="-284" w:right="-427"/>
              <w:jc w:val="both"/>
              <w:rPr>
                <w:rFonts/>
                <w:color w:val="262626" w:themeColor="text1" w:themeTint="D9"/>
              </w:rPr>
            </w:pPr>
            <w:r>
              <w:t>Como es lógico, las comunidades autónomas más pobladas son las determinantes para explicar la evolución de los concursos de acreedores. En este sentido, es reseñable la evolución de la Comunidad de Madrid, que registró 115 concursos en el mes de octubre, con una caída interanual del 21,77%, mientras que el saldo acumulado en el año es de 864, más de un tercio menos que el año pasado por estas mismas fechas (-36,56%). La comunidad autónoma con más concursos es Cataluña, la única en la que el acumulado anual supera la cifra de 1.000; en concreto son 1.195, un 22% menos que el periodo enero-octubre del año pasado. En octubre, en Cataluña se dieron 151 concursos (-11,7% en variación interanual).</w:t>
            </w:r>
          </w:p>
          <w:p>
            <w:pPr>
              <w:ind w:left="-284" w:right="-427"/>
              <w:jc w:val="both"/>
              <w:rPr>
                <w:rFonts/>
                <w:color w:val="262626" w:themeColor="text1" w:themeTint="D9"/>
              </w:rPr>
            </w:pPr>
            <w:r>
              <w:t>En tercer lugar se encuentra Valencia, con 750 procesos acumulados (-24,77%) y 84 en el mes de octubre (-27,59%). A Valencia le sigue Andalucía (600 casos en los 10 primeros meses del año, una caída del 14,16%,  y 78 en octubre, un retroceso del 21,1%). En quinto término está el País Vasco, con 406 procesos formales de insolvencia iniciados en los 10 primeros meses del año (-17,81%) y 55 en el mes pasado (-3,51%).</w:t>
            </w:r>
          </w:p>
           Evolución por sectores 
          <w:p>
            <w:pPr>
              <w:ind w:left="-284" w:right="-427"/>
              <w:jc w:val="both"/>
              <w:rPr>
                <w:rFonts/>
                <w:color w:val="262626" w:themeColor="text1" w:themeTint="D9"/>
              </w:rPr>
            </w:pPr>
            <w:r>
              <w:t>Por sectores, las caídas son generalizadas en todo tipo de actividad. Pero es esencial el buen comportamiento de los sectores de Construcción y Comercio. De lo que más concursos de acreedores hay en España es de construcción, con 1.434 acumulados entre enero y octubre, lo que significa un 25% del total. Sin embargo, este sector registra un descenso del 36,8% respecto al mismo lapso de tiempo de 2013; el mes pasado, la cifra de concursos fue de 158, lo que supuso una caída del 42,3%. El comercio es el otro gran sector que más concursos acumula, con 1.115 en lo que va de año, esta cifra es un 17,5% inferior a la de 2013 por las mismas fechas; los 129 concursos de octubre representan una caída del 13,42% sobre octubre de 2013. Por último, la industria manufacturera acumula 883 concursos, un descenso del 32,7% en tasa interanual; los 85 casos de octubre implican una caída del 46,54%.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https://www.notasdeprensa.es/los-concursos-de-acreedores-cumplen-12-meses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