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obras de la segunda fase del Parque Fluvial en el Río Fuengirola dentro del Plan Qualifica finalizarán en octu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retario general para el Turismo de la Junta, Vicente Granados, visitó hoy en Fuengirola (Málaga) las obras de la segunda fase del Parque Fluvial en la desembocadura del río de la localidad, una actuación incluida en el programa de mejora del litoral del Plan Qualifica y que tiene prevista su conclusión para el próximo mes de octubre. Así lo avanzó Granados, que estuvo acompañado por la alcaldesa, Esperanza Oña y 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retario general para el Turismo de la Junta, Vicente Granados, visitó hoy en Fuengirola (Málaga) las obras de la segunda fase del Parque Fluvial en la desembocadura del río de la localidad, una actuación incluida en el programa de mejora del litoral del Plan Qualifica y que tiene prevista su conclusión para el próximo mes de octubre. Así lo avanzó Granados, que estuvo acompañado por la alcaldesa, Esperanza Oña y destacó la relevancia de este proyecto, que cuenta con un presupuesto de 1.591.243 euros. La iniciativa está financiada en un 70% por el Consorcio Qualifica y en un 30% por el Ayuntamiento del municipio. El secretario general se refirió a esta actuación como “un ejemplo de lo que pueden hacer las administraciones públicas cuando colaboran”, y puso de relieve la importancia de aprovechar la desembocadura del río y habilitarla para su uso público y turístico, como ya se llevó a cabo con el tramo de la primera fase, inaugurada en 2011 y que contó con un presupuesto por encima de los 1.200.000 euros. Las obras de la segunda fase del proyecto comprenden el tramo entre la balsa de decantación de sólidos y el punto kilométrico 450 y abarca parte del entorno del centro comercial Miramar. El objetivo es extender el atractivo turístico de esta zona mediante la transformación de este tramo de cauce del río en un parque fluvial que sirva de continuidad al ya ejecutado cerca del Castillo Sohail. De este modo, esta segunda etapa contará también con parques infantiles y espacios de ocio y recreativos y se podrá hacer uso del cauce del río como estiaje para navegación ligera de pequeñas embarcaciones. Igualmente, las obras incluyen la continuidad del carril bici ya existente de forma que dé la vuelta al centro comercial Miramar, así como un estanque para patos y un lugar habilitado para plantas aromática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bras-de-la-segunda-fase-del-pa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