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nuevas fundas EDC Ainsworth y Tool Pouch de la conocida marca de multiherramientas Leatherman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presenta dos nuevas formas de llevar los accesorios imprescindibles. No hay que conformarse, Leatherman ofrece facilidades para tener a mano las multiherramientas gracias a sus nuevas nuevas fundas EDC Ainsworth y Tool Pouch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Fundada en 1983, Leatherman con sede en Oregon, EE. UU., es el mayor fabricante mundial de herramientas multifuncionales de alta calidad con ventas en más de 80 países. Todas las herramientas cuentan con 25 años de garantía.</w:t>
            </w:r>
          </w:p>
          <w:p>
            <w:pPr>
              <w:ind w:left="-284" w:right="-427"/>
              <w:jc w:val="both"/>
              <w:rPr>
                <w:rFonts/>
                <w:color w:val="262626" w:themeColor="text1" w:themeTint="D9"/>
              </w:rPr>
            </w:pPr>
            <w:r>
              <w:t>En este mes de Febrero, a Leatherman se le suman dos nuevos miembros, las nuevas fundas Ainsworth EDC y Tool Pouch, superando las expectativas de todos los entusiastas de las aventuras y trabajos tanto codidianos como profesionales. Estos productos se encuentran en exclusiva en la web oficial de la marca.</w:t>
            </w:r>
          </w:p>
          <w:p>
            <w:pPr>
              <w:ind w:left="-284" w:right="-427"/>
              <w:jc w:val="both"/>
              <w:rPr>
                <w:rFonts/>
                <w:color w:val="262626" w:themeColor="text1" w:themeTint="D9"/>
              </w:rPr>
            </w:pPr>
            <w:r>
              <w:t>Funda de piel premium Ainsworth EDCUna aliada imprescindible para proyectos de bricolaje y trabajos cotidianos. La funda Ainsworth EDC está confeccionada con cuero de primera calidad que ha sido teñido y con el tiempo se produce un hermoso efecto envejecido. Está disponible en dos tamaños, la funda permite acceder rápidamente a la herramienta Leatherman gracias a su práctico cierre a presión, enganchar las llaves en su resistente mosquetón de acero y tener siempre a mano una linterna de bolsillo. Ideal para usar con cinturones de un máximo de 3,8 cm de ancho y diseño contorneado, para que la funda descanse cómodamente en la cadera. Cuenta con una garantía de dos años. Precio: 79,95€</w:t>
            </w:r>
          </w:p>
          <w:p>
            <w:pPr>
              <w:ind w:left="-284" w:right="-427"/>
              <w:jc w:val="both"/>
              <w:rPr>
                <w:rFonts/>
                <w:color w:val="262626" w:themeColor="text1" w:themeTint="D9"/>
              </w:rPr>
            </w:pPr>
            <w:r>
              <w:t>Medidas: 12,4 x 14,2 x 2,4 cmPeso: 65,2 g</w:t>
            </w:r>
          </w:p>
          <w:p>
            <w:pPr>
              <w:ind w:left="-284" w:right="-427"/>
              <w:jc w:val="both"/>
              <w:rPr>
                <w:rFonts/>
                <w:color w:val="262626" w:themeColor="text1" w:themeTint="D9"/>
              </w:rPr>
            </w:pPr>
            <w:r>
              <w:t>Compatible con las siguientes herramientas Leatherman.</w:t>
            </w:r>
          </w:p>
          <w:p>
            <w:pPr>
              <w:ind w:left="-284" w:right="-427"/>
              <w:jc w:val="both"/>
              <w:rPr>
                <w:rFonts/>
                <w:color w:val="262626" w:themeColor="text1" w:themeTint="D9"/>
              </w:rPr>
            </w:pPr>
            <w:r>
              <w:t>Wingman®</w:t>
            </w:r>
          </w:p>
          <w:p>
            <w:pPr>
              <w:ind w:left="-284" w:right="-427"/>
              <w:jc w:val="both"/>
              <w:rPr>
                <w:rFonts/>
                <w:color w:val="262626" w:themeColor="text1" w:themeTint="D9"/>
              </w:rPr>
            </w:pPr>
            <w:r>
              <w:t>Sidekick®</w:t>
            </w:r>
          </w:p>
          <w:p>
            <w:pPr>
              <w:ind w:left="-284" w:right="-427"/>
              <w:jc w:val="both"/>
              <w:rPr>
                <w:rFonts/>
                <w:color w:val="262626" w:themeColor="text1" w:themeTint="D9"/>
              </w:rPr>
            </w:pPr>
            <w:r>
              <w:t>Rev™</w:t>
            </w:r>
          </w:p>
          <w:p>
            <w:pPr>
              <w:ind w:left="-284" w:right="-427"/>
              <w:jc w:val="both"/>
              <w:rPr>
                <w:rFonts/>
                <w:color w:val="262626" w:themeColor="text1" w:themeTint="D9"/>
              </w:rPr>
            </w:pPr>
            <w:r>
              <w:t>Rebar®</w:t>
            </w:r>
          </w:p>
          <w:p>
            <w:pPr>
              <w:ind w:left="-284" w:right="-427"/>
              <w:jc w:val="both"/>
              <w:rPr>
                <w:rFonts/>
                <w:color w:val="262626" w:themeColor="text1" w:themeTint="D9"/>
              </w:rPr>
            </w:pPr>
            <w:r>
              <w:t>Skeletool®</w:t>
            </w:r>
          </w:p>
          <w:p>
            <w:pPr>
              <w:ind w:left="-284" w:right="-427"/>
              <w:jc w:val="both"/>
              <w:rPr>
                <w:rFonts/>
                <w:color w:val="262626" w:themeColor="text1" w:themeTint="D9"/>
              </w:rPr>
            </w:pPr>
            <w:r>
              <w:t>Surge®</w:t>
            </w:r>
          </w:p>
          <w:p>
            <w:pPr>
              <w:ind w:left="-284" w:right="-427"/>
              <w:jc w:val="both"/>
              <w:rPr>
                <w:rFonts/>
                <w:color w:val="262626" w:themeColor="text1" w:themeTint="D9"/>
              </w:rPr>
            </w:pPr>
            <w:r>
              <w:t>Signal®</w:t>
            </w:r>
          </w:p>
          <w:p>
            <w:pPr>
              <w:ind w:left="-284" w:right="-427"/>
              <w:jc w:val="both"/>
              <w:rPr>
                <w:rFonts/>
                <w:color w:val="262626" w:themeColor="text1" w:themeTint="D9"/>
              </w:rPr>
            </w:pPr>
            <w:r>
              <w:t>Charge®+</w:t>
            </w:r>
          </w:p>
          <w:p>
            <w:pPr>
              <w:ind w:left="-284" w:right="-427"/>
              <w:jc w:val="both"/>
              <w:rPr>
                <w:rFonts/>
                <w:color w:val="262626" w:themeColor="text1" w:themeTint="D9"/>
              </w:rPr>
            </w:pPr>
            <w:r>
              <w:t>Crunch®</w:t>
            </w:r>
          </w:p>
          <w:p>
            <w:pPr>
              <w:ind w:left="-284" w:right="-427"/>
              <w:jc w:val="both"/>
              <w:rPr>
                <w:rFonts/>
                <w:color w:val="262626" w:themeColor="text1" w:themeTint="D9"/>
              </w:rPr>
            </w:pPr>
            <w:r>
              <w:t>OHT®</w:t>
            </w:r>
          </w:p>
          <w:p>
            <w:pPr>
              <w:ind w:left="-284" w:right="-427"/>
              <w:jc w:val="both"/>
              <w:rPr>
                <w:rFonts/>
                <w:color w:val="262626" w:themeColor="text1" w:themeTint="D9"/>
              </w:rPr>
            </w:pPr>
            <w:r>
              <w:t>Wave®+</w:t>
            </w:r>
          </w:p>
          <w:p>
            <w:pPr>
              <w:ind w:left="-284" w:right="-427"/>
              <w:jc w:val="both"/>
              <w:rPr>
                <w:rFonts/>
                <w:color w:val="262626" w:themeColor="text1" w:themeTint="D9"/>
              </w:rPr>
            </w:pPr>
            <w:r>
              <w:t>FREE® P2</w:t>
            </w:r>
          </w:p>
          <w:p>
            <w:pPr>
              <w:ind w:left="-284" w:right="-427"/>
              <w:jc w:val="both"/>
              <w:rPr>
                <w:rFonts/>
                <w:color w:val="262626" w:themeColor="text1" w:themeTint="D9"/>
              </w:rPr>
            </w:pPr>
            <w:r>
              <w:t>FREE® P4</w:t>
            </w:r>
          </w:p>
          <w:p>
            <w:pPr>
              <w:ind w:left="-284" w:right="-427"/>
              <w:jc w:val="both"/>
              <w:rPr>
                <w:rFonts/>
                <w:color w:val="262626" w:themeColor="text1" w:themeTint="D9"/>
              </w:rPr>
            </w:pPr>
            <w:r>
              <w:t>Bond®</w:t>
            </w:r>
          </w:p>
          <w:p>
            <w:pPr>
              <w:ind w:left="-284" w:right="-427"/>
              <w:jc w:val="both"/>
              <w:rPr>
                <w:rFonts/>
                <w:color w:val="262626" w:themeColor="text1" w:themeTint="D9"/>
              </w:rPr>
            </w:pPr>
            <w:r>
              <w:t>Curl®</w:t>
            </w:r>
          </w:p>
          <w:p>
            <w:pPr>
              <w:ind w:left="-284" w:right="-427"/>
              <w:jc w:val="both"/>
              <w:rPr>
                <w:rFonts/>
                <w:color w:val="262626" w:themeColor="text1" w:themeTint="D9"/>
              </w:rPr>
            </w:pPr>
            <w:r>
              <w:t>Funda Tool Pouch con 7 bolsillosIdeal para organizar el día a día y llevar los accesorios imprescindibles. Creada en colaboración con PACSAFE®, la funda Tool Pouch está confeccionada en un compacto tejido de nylon antidesgarro y cuenta con una cremallera resistente a la intemperie para mantener las herramientas totalmente protegidas. Sus siete bolsillos internos ofrecen un amplio espacio de almacenaje para guardar las herramienta Leatherman, accesorios, bolígrafos, o cualquier otro objeto necesario. Además, se puede guardar fácilmente en cualquier mochila o enganchar a otros equipos gracias a sus anillas de nylon. Cuenta con una garantía de dos años. Precio: 29,95€</w:t>
            </w:r>
          </w:p>
          <w:p>
            <w:pPr>
              <w:ind w:left="-284" w:right="-427"/>
              <w:jc w:val="both"/>
              <w:rPr>
                <w:rFonts/>
                <w:color w:val="262626" w:themeColor="text1" w:themeTint="D9"/>
              </w:rPr>
            </w:pPr>
            <w:r>
              <w:t>Medidas: 12,4 x 14,2 x 2,4 cmPeso: 59,3 g</w:t>
            </w:r>
          </w:p>
          <w:p>
            <w:pPr>
              <w:ind w:left="-284" w:right="-427"/>
              <w:jc w:val="both"/>
              <w:rPr>
                <w:rFonts/>
                <w:color w:val="262626" w:themeColor="text1" w:themeTint="D9"/>
              </w:rPr>
            </w:pPr>
            <w:r>
              <w:t>Compatible con las siguientes herramientas Leatherman.</w:t>
            </w:r>
          </w:p>
          <w:p>
            <w:pPr>
              <w:ind w:left="-284" w:right="-427"/>
              <w:jc w:val="both"/>
              <w:rPr>
                <w:rFonts/>
                <w:color w:val="262626" w:themeColor="text1" w:themeTint="D9"/>
              </w:rPr>
            </w:pPr>
            <w:r>
              <w:t>Bond®</w:t>
            </w:r>
          </w:p>
          <w:p>
            <w:pPr>
              <w:ind w:left="-284" w:right="-427"/>
              <w:jc w:val="both"/>
              <w:rPr>
                <w:rFonts/>
                <w:color w:val="262626" w:themeColor="text1" w:themeTint="D9"/>
              </w:rPr>
            </w:pPr>
            <w:r>
              <w:t>Charge®+</w:t>
            </w:r>
          </w:p>
          <w:p>
            <w:pPr>
              <w:ind w:left="-284" w:right="-427"/>
              <w:jc w:val="both"/>
              <w:rPr>
                <w:rFonts/>
                <w:color w:val="262626" w:themeColor="text1" w:themeTint="D9"/>
              </w:rPr>
            </w:pPr>
            <w:r>
              <w:t>Crunch®</w:t>
            </w:r>
          </w:p>
          <w:p>
            <w:pPr>
              <w:ind w:left="-284" w:right="-427"/>
              <w:jc w:val="both"/>
              <w:rPr>
                <w:rFonts/>
                <w:color w:val="262626" w:themeColor="text1" w:themeTint="D9"/>
              </w:rPr>
            </w:pPr>
            <w:r>
              <w:t>Curl®</w:t>
            </w:r>
          </w:p>
          <w:p>
            <w:pPr>
              <w:ind w:left="-284" w:right="-427"/>
              <w:jc w:val="both"/>
              <w:rPr>
                <w:rFonts/>
                <w:color w:val="262626" w:themeColor="text1" w:themeTint="D9"/>
              </w:rPr>
            </w:pPr>
            <w:r>
              <w:t>FREE® P2</w:t>
            </w:r>
          </w:p>
          <w:p>
            <w:pPr>
              <w:ind w:left="-284" w:right="-427"/>
              <w:jc w:val="both"/>
              <w:rPr>
                <w:rFonts/>
                <w:color w:val="262626" w:themeColor="text1" w:themeTint="D9"/>
              </w:rPr>
            </w:pPr>
            <w:r>
              <w:t>FREE® P4</w:t>
            </w:r>
          </w:p>
          <w:p>
            <w:pPr>
              <w:ind w:left="-284" w:right="-427"/>
              <w:jc w:val="both"/>
              <w:rPr>
                <w:rFonts/>
                <w:color w:val="262626" w:themeColor="text1" w:themeTint="D9"/>
              </w:rPr>
            </w:pPr>
            <w:r>
              <w:t>OHT®</w:t>
            </w:r>
          </w:p>
          <w:p>
            <w:pPr>
              <w:ind w:left="-284" w:right="-427"/>
              <w:jc w:val="both"/>
              <w:rPr>
                <w:rFonts/>
                <w:color w:val="262626" w:themeColor="text1" w:themeTint="D9"/>
              </w:rPr>
            </w:pPr>
            <w:r>
              <w:t>Carraca Ratchet Driver</w:t>
            </w:r>
          </w:p>
          <w:p>
            <w:pPr>
              <w:ind w:left="-284" w:right="-427"/>
              <w:jc w:val="both"/>
              <w:rPr>
                <w:rFonts/>
                <w:color w:val="262626" w:themeColor="text1" w:themeTint="D9"/>
              </w:rPr>
            </w:pPr>
            <w:r>
              <w:t>Sidekick®</w:t>
            </w:r>
          </w:p>
          <w:p>
            <w:pPr>
              <w:ind w:left="-284" w:right="-427"/>
              <w:jc w:val="both"/>
              <w:rPr>
                <w:rFonts/>
                <w:color w:val="262626" w:themeColor="text1" w:themeTint="D9"/>
              </w:rPr>
            </w:pPr>
            <w:r>
              <w:t>Signal®</w:t>
            </w:r>
          </w:p>
          <w:p>
            <w:pPr>
              <w:ind w:left="-284" w:right="-427"/>
              <w:jc w:val="both"/>
              <w:rPr>
                <w:rFonts/>
                <w:color w:val="262626" w:themeColor="text1" w:themeTint="D9"/>
              </w:rPr>
            </w:pPr>
            <w:r>
              <w:t>Skeletool®</w:t>
            </w:r>
          </w:p>
          <w:p>
            <w:pPr>
              <w:ind w:left="-284" w:right="-427"/>
              <w:jc w:val="both"/>
              <w:rPr>
                <w:rFonts/>
                <w:color w:val="262626" w:themeColor="text1" w:themeTint="D9"/>
              </w:rPr>
            </w:pPr>
            <w:r>
              <w:t>Super Tool® 300</w:t>
            </w:r>
          </w:p>
          <w:p>
            <w:pPr>
              <w:ind w:left="-284" w:right="-427"/>
              <w:jc w:val="both"/>
              <w:rPr>
                <w:rFonts/>
                <w:color w:val="262626" w:themeColor="text1" w:themeTint="D9"/>
              </w:rPr>
            </w:pPr>
            <w:r>
              <w:t>Surge®</w:t>
            </w:r>
          </w:p>
          <w:p>
            <w:pPr>
              <w:ind w:left="-284" w:right="-427"/>
              <w:jc w:val="both"/>
              <w:rPr>
                <w:rFonts/>
                <w:color w:val="262626" w:themeColor="text1" w:themeTint="D9"/>
              </w:rPr>
            </w:pPr>
            <w:r>
              <w:t>Wave®+</w:t>
            </w:r>
          </w:p>
          <w:p>
            <w:pPr>
              <w:ind w:left="-284" w:right="-427"/>
              <w:jc w:val="both"/>
              <w:rPr>
                <w:rFonts/>
                <w:color w:val="262626" w:themeColor="text1" w:themeTint="D9"/>
              </w:rPr>
            </w:pPr>
            <w:r>
              <w:t>Rev™</w:t>
            </w:r>
          </w:p>
          <w:p>
            <w:pPr>
              <w:ind w:left="-284" w:right="-427"/>
              <w:jc w:val="both"/>
              <w:rPr>
                <w:rFonts/>
                <w:color w:val="262626" w:themeColor="text1" w:themeTint="D9"/>
              </w:rPr>
            </w:pPr>
            <w:r>
              <w:t>Rebar®</w:t>
            </w:r>
          </w:p>
          <w:p>
            <w:pPr>
              <w:ind w:left="-284" w:right="-427"/>
              <w:jc w:val="both"/>
              <w:rPr>
                <w:rFonts/>
                <w:color w:val="262626" w:themeColor="text1" w:themeTint="D9"/>
              </w:rPr>
            </w:pPr>
            <w:r>
              <w:t>Acerca de Leatherman: de Oregon al mundo desde 1983Desde que Tim Leatherman creó su primer prototipo hasta sus últimas novedades en herramientas multiusos, Leatherman se fabrica en Portland, Oregon y posteriormente se ponen a prueba en el noroeste del Pacífico.</w:t>
            </w:r>
          </w:p>
          <w:p>
            <w:pPr>
              <w:ind w:left="-284" w:right="-427"/>
              <w:jc w:val="both"/>
              <w:rPr>
                <w:rFonts/>
                <w:color w:val="262626" w:themeColor="text1" w:themeTint="D9"/>
              </w:rPr>
            </w:pPr>
            <w:r>
              <w:t>Comprometida a ofrecer la mejor gama de productos multiusos para ayudar a resolver las situaciones esperadas e inesperadas de la vida cotidiana.</w:t>
            </w:r>
          </w:p>
          <w:p>
            <w:pPr>
              <w:ind w:left="-284" w:right="-427"/>
              <w:jc w:val="both"/>
              <w:rPr>
                <w:rFonts/>
                <w:color w:val="262626" w:themeColor="text1" w:themeTint="D9"/>
              </w:rPr>
            </w:pPr>
            <w:r>
              <w:t>Más información en www.leatherman.es y en sus redes sociales: Facebook e Instagram.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Aina Bonnín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0049162 2424056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https://www.notasdeprensa.es/las-nuevas-fundas-edc-ainsworth-y-tool-pouch</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Consumo Servicios Técnicos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