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ampliaciones de capital que han tenido que hacer las pymes superan en casi un 50% a toda la ayuda pública para la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2009, las ampliaciones de capital efectuadas por las pymes suman 89.691,75 millones de euros (un importe equivalente a aproximadamente un 9% del PIB), de acuerdo con los datos del Gabinete de Estudios Económicos de axesor, primera agencia de rating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situar este volumen de dinero en su contexto, esta cantidad es un 46,15% superior a los 61.366 millones de euros de ayuda pública recibidos por la banca durante el mismo periodo, según los cálculos divulgados por el Banco de España el pasado 2 de septiembre. Solo entre enero y agosto de este año, las pymes han aumentado sus recursos propios por un importe de 13.882,75 millones, un 45,2% más de lo que han hecho las grandes empresas no financieras en el mismo periodo, que suman 9.555,8 millones de euros. En conjunto, el sector empresarial no financiero ha ampliado capital en los ocho primeros meses del año por un importe total de 23.438,5 millones de euros, un descenso del 3,88% respecto al mismo periodo del año pasado.</w:t>
            </w:r>
          </w:p>
          <w:p>
            <w:pPr>
              <w:ind w:left="-284" w:right="-427"/>
              <w:jc w:val="both"/>
              <w:rPr>
                <w:rFonts/>
                <w:color w:val="262626" w:themeColor="text1" w:themeTint="D9"/>
              </w:rPr>
            </w:pPr>
            <w:r>
              <w:t>		Las diferencias entre pymes y grandes empresas evidencian las dificultades de las primeras a la hora de obtener recursos mediante financiación bancaria. En ambos casos, el saldo acumulado en los ocho primeros meses del año es inferior respecto a los elevados volúmenes registrados en 2011 y 2012, si bien el ritmo de caída experimentado por las pymes (-2,37%) en tasa interanual es un 60% inferior al de las grandes corporaciones (-6%).</w:t>
            </w:r>
          </w:p>
          <w:p>
            <w:pPr>
              <w:ind w:left="-284" w:right="-427"/>
              <w:jc w:val="both"/>
              <w:rPr>
                <w:rFonts/>
                <w:color w:val="262626" w:themeColor="text1" w:themeTint="D9"/>
              </w:rPr>
            </w:pPr>
            <w:r>
              <w:t>		Históricamente, las pequeñas y medianas empresas han recurrido más a las ampliaciones de capital que las grandes corporaciones. Desde 1991, las grandes compañías han superado a las pymes en lo que se refiere a ampliaciones de capital en sólo cinco ocasiones, de acuerdo con los datos recopilados por axesor. Las más recientes han tenido lugar precisamente durante la crisis, ocurrió en 2010 y 2011. Desde entonces, la situación ha cambiado notablemente. De hecho, el ritmo mensual de ampliaciones de capital por grandes empresas se sitúa en 2013 en algo menos de 1.200 millones, la mitad del volumen registrado en 2011 (2.359,11 millones, récord de la serie estadística). En contraste, el incremento de recursos propios por parte de las pymes se sitúa en 2013 en 1.735,3 millones mensuales. Se trata del quinto año más elevado de la serie estadística y, excluyendo el año pasado, el más alto desde 2008.</w:t>
            </w:r>
          </w:p>
          <w:p>
            <w:pPr>
              <w:ind w:left="-284" w:right="-427"/>
              <w:jc w:val="both"/>
              <w:rPr>
                <w:rFonts/>
                <w:color w:val="262626" w:themeColor="text1" w:themeTint="D9"/>
              </w:rPr>
            </w:pPr>
            <w:r>
              <w:t>	Más de un tercio de las ampliaciones tienen lugar en Madrid</w:t>
            </w:r>
          </w:p>
          <w:p>
            <w:pPr>
              <w:ind w:left="-284" w:right="-427"/>
              <w:jc w:val="both"/>
              <w:rPr>
                <w:rFonts/>
                <w:color w:val="262626" w:themeColor="text1" w:themeTint="D9"/>
              </w:rPr>
            </w:pPr>
            <w:r>
              <w:t>	Lógicamente, las ampliaciones de capital se concentran en las comunidades autónomas más pobladas. De hecho, Madrid agrupa más de un tercio de las operaciones registradas en lo que va de año, con 8.462,76 millones de euros (un 36,1% del total). Esta pauta se mantuvo durante el mes de agosto, donde Madrid fue de largo la comunidad autónoma donde más ampliaciones de capital se hicieron, con un volumen total de 490 millones de euros, un 33% de todo lo registrado en España (1.470,21 millones de euros, un 48,8% menos que en el mismo mes de 2012). Cataluña ocupa el segundo lugar en el acumulado anual, aunque a mucha distancia de Madrid, ya que el importe asciende a 3.870,13 millones de euros; en tercera posición está Valencia, con 2.400,43 millones de euros; a la que siguen Andalucía (2.373,99 millones) y País Vasco (1.447,22 millones). Madrid, Cataluña, Valencia, Andalucía y País Vasco representan el 79% de todas las ampliaciones realizadas este año por empresas no financieras.</w:t>
            </w:r>
          </w:p>
          <w:p>
            <w:pPr>
              <w:ind w:left="-284" w:right="-427"/>
              <w:jc w:val="both"/>
              <w:rPr>
                <w:rFonts/>
                <w:color w:val="262626" w:themeColor="text1" w:themeTint="D9"/>
              </w:rPr>
            </w:pPr>
            <w:r>
              <w:t>	Más de 10.500 millones en el ‘ladrillo’</w:t>
            </w:r>
          </w:p>
          <w:p>
            <w:pPr>
              <w:ind w:left="-284" w:right="-427"/>
              <w:jc w:val="both"/>
              <w:rPr>
                <w:rFonts/>
                <w:color w:val="262626" w:themeColor="text1" w:themeTint="D9"/>
              </w:rPr>
            </w:pPr>
            <w:r>
              <w:t>	La concentración de las ampliaciones de capital no sólo se da geográficamente, sino también desde un punto de vista sectorial. Así, las actividades vinculadas al ladrillo representan un 45%, 10.534,204 millones de euros repartidos prácticamente en la misma proporción entre Construcción y Actividades Inmobiliarias. El volumen es poco más de 150 millones de euros inferior al que se registró en los ocho primeros meses de 2012. En un segundo plano figura el ramo de Actividades Profesionales Científicas y Técnicas, con 3.370,31 millones de euros; seguida de Comercio Mayorista y Minorista, 2.974,92 millones y del sector de Industria Manufacturera (1.375,65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https://www.notasdeprensa.es/las-ampliaciones-de-capital-que-han-tenido-que_1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