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 de viviendas creció en 2016 un 13,9%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estadística publicada indica que en España se vendieron en alrededor de 458.000 viviendas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09.03.17Los resultados de la estadística sobre transacciones inmobiliarias de viviendas realizadas ante notario, muestran que en el cuarto trimestre de 2016 se vendieron en España 126.516 viviendas. Para encontrar un cuarto trimestre con más transacciones hay que remontarse al año 2010 (150.494), ejercicio afectado por el sesgo al alza que supuso el fin de la desgravación fiscal por compra de vivienda.</w:t>
            </w:r>
          </w:p>
          <w:p>
            <w:pPr>
              <w:ind w:left="-284" w:right="-427"/>
              <w:jc w:val="both"/>
              <w:rPr>
                <w:rFonts/>
                <w:color w:val="262626" w:themeColor="text1" w:themeTint="D9"/>
              </w:rPr>
            </w:pPr>
            <w:r>
              <w:t>El dato representa una subida del 10% frente al cuarto trimestre de 2015. En un análisis anual, en los últimos doce meses las transacciones inmobiliarias de viviendas realizadas ante notario ascendieron a un total de 457.689, lo que supone un incremento del 13,9% frente a los doce meses anteriores.</w:t>
            </w:r>
          </w:p>
          <w:p>
            <w:pPr>
              <w:ind w:left="-284" w:right="-427"/>
              <w:jc w:val="both"/>
              <w:rPr>
                <w:rFonts/>
                <w:color w:val="262626" w:themeColor="text1" w:themeTint="D9"/>
              </w:rPr>
            </w:pPr>
            <w:r>
              <w:t>Analizando el comportamiento de las compraventas de viviendas realizadas durante el año 2016, todas las comunidades autónomas registraron incrementos respecto a 2015. Entre las mayores subidas destacaron Cataluña, Baleares, Madrid, Asturias y Comunidad Valenciana, con incrementos anuales del 23%, 22,3%, 17,2%, 16,9% y 14% respectivamente.</w:t>
            </w:r>
          </w:p>
          <w:p>
            <w:pPr>
              <w:ind w:left="-284" w:right="-427"/>
              <w:jc w:val="both"/>
              <w:rPr>
                <w:rFonts/>
                <w:color w:val="262626" w:themeColor="text1" w:themeTint="D9"/>
              </w:rPr>
            </w:pPr>
            <w:r>
              <w:t>Por provincias, con los mayores incrementos se encuentran Álava (26,6%), Barcelona (25,3%), Baleares (22,3%), Lleida (21,7%), Salamanca (21,5%), Valladolid (20,3%), Toledo (20,2%) y Tarragona (18,1%). Por el lado contrario, sólo dos provincias registraron descensos anuales, Teruel (-10,9%) y Lugo (-0,4%).</w:t>
            </w:r>
          </w:p>
          <w:p>
            <w:pPr>
              <w:ind w:left="-284" w:right="-427"/>
              <w:jc w:val="both"/>
              <w:rPr>
                <w:rFonts/>
                <w:color w:val="262626" w:themeColor="text1" w:themeTint="D9"/>
              </w:rPr>
            </w:pPr>
            <w:r>
              <w:t>Entre las capitales de provincia y municipios de más de 100.000 habitantes destacaron, por crecimiento en 2016, Girona (38,7%), Reus (34,5%), Algeciras (33,8%), Santa Coloma de Gramenet (33,5%), San Cristóbal de la Laguna (33,4%), Jaén (33,3%), Sabadell (31,6%), Palma de Mallorca (31,5%) y Getafe (31,5%).</w:t>
            </w:r>
          </w:p>
          <w:p>
            <w:pPr>
              <w:ind w:left="-284" w:right="-427"/>
              <w:jc w:val="both"/>
              <w:rPr>
                <w:rFonts/>
                <w:color w:val="262626" w:themeColor="text1" w:themeTint="D9"/>
              </w:rPr>
            </w:pPr>
            <w:r>
              <w:t>Por lo que respecta al cuarto trimestre de 2016, y frente al mismo periodo de 2015, quince comunidades autónomas registraron incrementos en el número de compraventas de viviendas, mientras en tres se contabilizaron caídas. Entre las mayores subidas destacaron Cataluña (21,0%), Cantabria (19,4%), Castilla-La Macha (17,2%), Comunidad Valenciana (13,4%) y Baleares (13,2%). Las comunidades en las que se observaron caídas fueron Navarra (-11,7%), Ceuta y Melilla (-7,9%) y Aragón (-7%).</w:t>
            </w:r>
          </w:p>
          <w:p>
            <w:pPr>
              <w:ind w:left="-284" w:right="-427"/>
              <w:jc w:val="both"/>
              <w:rPr>
                <w:rFonts/>
                <w:color w:val="262626" w:themeColor="text1" w:themeTint="D9"/>
              </w:rPr>
            </w:pPr>
            <w:r>
              <w:t>Número de compraventas de viviendas Cuarto trimestre 2015 Cuarto trimestre 2016 Variación TOTAL NACIONAL 115.030 126.516 10,0% Andalucía 21.220 22.634 6,7% Aragón 3.666 3.411 -7,0% Asturias (Principado de) 1.911 2.064 8,0% Balears (Illes) 3.972 4.496 13,2% Canarias 5.538 5.764 4,1% Cantabria 1.298 1.550 19,4% Castilla y León 5.174 5.836 12,8% Castilla-La Mancha 4.062 4.762 17,2% Cataluña 17.470 21.141 21,0% Comunitat Valenciana 16.478 18.692 13,4% Extremadura 1.843 1.946 5,6% Galicia 3.999 4.236 5,9% Madrid (Comunidad de) 17.161 18.613 8,5% Murcia (Región de) 3.389 3.646 7,6% Navarra (C. Foral de) 1.525 1.347 -11,7% País Vasco 5.185 5.249 1,2% Rioja (La) 849 862 1,5% Ceuta y Melilla 290 267 -7,9%</w:t>
            </w:r>
          </w:p>
          <w:p>
            <w:pPr>
              <w:ind w:left="-284" w:right="-427"/>
              <w:jc w:val="both"/>
              <w:rPr>
                <w:rFonts/>
                <w:color w:val="262626" w:themeColor="text1" w:themeTint="D9"/>
              </w:rPr>
            </w:pPr>
            <w:r>
              <w:t>Por municipios, los que registraron un mayor número de compraventas en el cuarto trimestre fueron Madrid (10.236), Barcelona (4.738), Valencia (2.698), Sevilla (1.839), Zaragoza (1.606), Málaga (1.549) y Palma de Mallorca (1.508).</w:t>
            </w:r>
          </w:p>
          <w:p>
            <w:pPr>
              <w:ind w:left="-284" w:right="-427"/>
              <w:jc w:val="both"/>
              <w:rPr>
                <w:rFonts/>
                <w:color w:val="262626" w:themeColor="text1" w:themeTint="D9"/>
              </w:rPr>
            </w:pPr>
            <w:r>
              <w:t>En lo que se refiere al régimen de protección, las transacciones de vivienda libre durante el cuarto trimestre de 2016 ascendieron a 120.813, lo que representó un 95,5% del total.</w:t>
            </w:r>
          </w:p>
          <w:p>
            <w:pPr>
              <w:ind w:left="-284" w:right="-427"/>
              <w:jc w:val="both"/>
              <w:rPr>
                <w:rFonts/>
                <w:color w:val="262626" w:themeColor="text1" w:themeTint="D9"/>
              </w:rPr>
            </w:pPr>
            <w:r>
              <w:t>Por su parte, las transacciones de vivienda protegida ascendieron en dicho periodo a 5.703, un 4,5% del total.</w:t>
            </w:r>
          </w:p>
          <w:p>
            <w:pPr>
              <w:ind w:left="-284" w:right="-427"/>
              <w:jc w:val="both"/>
              <w:rPr>
                <w:rFonts/>
                <w:color w:val="262626" w:themeColor="text1" w:themeTint="D9"/>
              </w:rPr>
            </w:pPr>
            <w:r>
              <w:t>En cuanto a la tipología, 13.268 transacciones correspondieron a vivienda nueva, lo que representó un 10,5% del total. Por su parte, la vivienda de segunda mano con 113.248 supuso el 89,5%. Este dato supone el mejor trimestre para la vivienda de segunda mano desde el segundo de 2007.</w:t>
            </w:r>
          </w:p>
          <w:p>
            <w:pPr>
              <w:ind w:left="-284" w:right="-427"/>
              <w:jc w:val="both"/>
              <w:rPr>
                <w:rFonts/>
                <w:color w:val="262626" w:themeColor="text1" w:themeTint="D9"/>
              </w:rPr>
            </w:pPr>
            <w:r>
              <w:t>En relación a la nacionalidad del comprador, las transacciones realizadas por extranjeros residentes en España experimentaron un crecimiento interanual por vigésimo segundo trimestre consecutivo, en concreto un 9,5% frente al cuarto trimestre de 2015, totalizando 19.922 compraventas. Asimismo, las compraventas realizadas por extranjeros no residentes ascendieron a 884 en el trimestre.</w:t>
            </w:r>
          </w:p>
          <w:p>
            <w:pPr>
              <w:ind w:left="-284" w:right="-427"/>
              <w:jc w:val="both"/>
              <w:rPr>
                <w:rFonts/>
                <w:color w:val="262626" w:themeColor="text1" w:themeTint="D9"/>
              </w:rPr>
            </w:pPr>
            <w:r>
              <w:t>En su conjunto, las compraventas realizadas por extranjeros (residentes y no residentes) supusieron 20.806, es decir, el 16,4% del total.</w:t>
            </w:r>
          </w:p>
          <w:p>
            <w:pPr>
              <w:ind w:left="-284" w:right="-427"/>
              <w:jc w:val="both"/>
              <w:rPr>
                <w:rFonts/>
                <w:color w:val="262626" w:themeColor="text1" w:themeTint="D9"/>
              </w:rPr>
            </w:pPr>
            <w:r>
              <w:t>Por provincias, las que registran mayor número de compraventas por extranjeros residentes, correspondieron a Alicante (4.391), Málaga (2.286), Barcelona (1.801), Madrid (1.600), y Baleares (1.531).</w:t>
            </w:r>
          </w:p>
          <w:p>
            <w:pPr>
              <w:ind w:left="-284" w:right="-427"/>
              <w:jc w:val="both"/>
              <w:rPr>
                <w:rFonts/>
                <w:color w:val="262626" w:themeColor="text1" w:themeTint="D9"/>
              </w:rPr>
            </w:pPr>
            <w:r>
              <w:t>Fuentes: Las estadísticas de transacciones del Ministerio de Fomento se realizan a través de los datos facilitados por el Colegio del Notariado y recogen el número de viviendas objeto de compraventas formalizadas en escritura pública en oficina notarial.</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https://www.notasdeprensa.es/la-venta-de-viviendas-crecio-en-2016-un-139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