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líder en los campos de la Ingeniería y las Matemáticas en el Ranking I-UGR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nueva edición del Ranking I-UGR de Universidades Españolas según Campos y Disciplinas Científicas emplea la misma metodología de ediciones anteriores: el análisis de la producción científica de universidades públicas y privadas publicada en las revistas internacionales de mayor impacto y visibilidad, utilizando como fuente de información las bases de datos de Thomson-Reuters: Web of Science y Journal Citation Reports. El objetivo de esta clasificación es detectar las fortalezas y debilidades del sistema universitario español de investigación en diferentes ámbitos de conocimiento. 		Así, el Ranking I-UGR posiciona las instituciones a partir de seis indicadores de producción y de impacto de las publicaciones científicas para 12 campos y 37 disciplinas científicas, de manera que refleja en qué especialidades son más influyentes las universidades. Los datos se analizan y se publican considerando dos franjas temporales: el último decenio (2004-2013) y el último quinquenio (2009-2013). 		La UPC encabeza el ranking en los campos de la Ingeniería y las Matemáticas en el periodo 2004-2013 y ocupa la segunda posición en el campo de las Tecnologías de la Información y la Comunicación. También destaca en el quinto puesto obtenido en los campos de las Ciencias de la Tierra y Medioambientales y la Física. En el sistema universitario catalán, la UPC es líder en el campo de las Tecnologías de la Información y la Comunicación (TIC) y, en el ámbito español, destaca, además, como primera politécnica tanto en los campos de las TIC como de las Ciencias de la Tierra y Medioambientales, así como en el de Física. 		La UPC lidera, en este mismo periodo, cinco disciplinas científicas: Arquitectura, Automática y Robótica, Ingeniería Civil, Ingeniería Eléctrica y Electrónica, y Telecomunicaciones; ocupa el segundo lugar en Ingeniería Industrial y en Informática, el cuarto en Geociencias y el quinto en Estadística. En el ámbito catalán, la UPC encabeza, además de las cinco primeras disciplinas, las de Ingeniería Industrial e Informática. También se sitúa como la primera politécnica estatal en las cinco disciplinas que lidera en el conjunto del sistema universitario, así como en Ciencias de los Materiales, Ecología y Ciencias Medioambientales, Geociencias, Informática y la denominada Multidisciplinar (que engloba aquellas publicaciones que tratan aspectos más de una disciplina científica). 		Quinquenio 2009-2013 Si se toma como referencia el quinquenio 2009-2013, la UPC aparece en primera posición en el campo de la Ingeniería y en segundo lugar en los campos de las Matemáticas y las Tecnologías de la Información y las Comunicaciones. El ranking sitúa la UPC líder en los tres campos tanto en el ámbito autonómico como en el conjunto de las politécnicas estatales. También destaca como la primera politécnica estatal en los campos de las Ciencias de la Tierra y Medioambientales y de la Física. 		En el mismo periodo, y en cuanto a las disciplinas científicas, la UPC es líder estatal en Automática y Robótica, Ingeniería Eléctrica y Electrónica y Telecomunicaciones, y se sitúa en segundo lugar en Arquitectura, Ingeniería Civil e Ingeniería Industrial. En todas estas disciplinas la UPC se sitúa como la primera catalana, un posicionamiento que también ocupa en las disciplinas de Ingeniería Química y Estadística.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https://www.notasdeprensa.es/la-upc-lider-en-los-campos-de-la-ingenieria-y_1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