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UPC escala posiciones y se sitúa entre las 400 mejores del mundo en el ranking URAP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última edición del Ranking URAP, elaborado por el Laboratorio de Investigación de la Escuela de Informática de la Middle East Technical University de Turquía, con sede en Ankara, y que se hizo pública en noviembre, corresponde al periodo 2014-2015.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Respecto a las ediciones anteriores, la UPC ha mejorado posiciones y ha escalado desde el lugar 408 que ocupaba en la edición anterior hasta el lugar 378 del mundo, mientras que en el ámbito europeo ha pasado del lugar 178 al 170 respecto la edición anterior, correspondiente al periodo 2013-2014. 		En cuanto a las politécnicas estatales, la Universidad mantiene el segundo lugar de la edición anterior, pero baja una posición en el ámbito de las universidades catalanas, al pasar del tercer al cuarto lugar, y dos posiciones respecto a las universidades del sistema estatal, al situarse en el lugar 13, a diferencia del lugar 11 que ocupaba anteriormente. Esta bajada de peldaño se debe a la mejora de posiciones de la Universitat Pompeu Fabra y de la Universidad del País Vasco. 		Indicadores El objetivo de este ranking es caracterizar las instituciones de educación superior de acuerdo con una serie de indicadores vinculados a aspectos cuantitativos y cualitativos de su producción científica. 		En cuanto a los indicadores en el campo de la producción científica, los editores del ranking han tenido en cuenta el número de artículos publicados entre el 2011 y el 2013 y, por otro lado, han analizado el impacto teniendo en cuenta el número total de citaciones recibidas. 		En este ranking también se analiza la calidad de la investigación estudiando los indicadores del impacto de los artículos y el impacto de las situaciones. Para medir el reconocimiento internacional de la Universidad, la URAP ha revisado el número de publicaciones entre el 2011 y el 2013 hechos en colaboración con universidades extranjeras.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UPC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https://www.notasdeprensa.es/la-upc-escala-posiciones-y-se-situa-entre-las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