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reserva hidráulica española se encuentra al 78,1% de su capacidad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Disminuye en 498 hectómetros cúbicos respecto a la semana anterior</w:t>
            </w:r>
          </w:p>
          <w:p>
            <w:pPr>
              <w:ind w:left="-284" w:right="-427"/>
              <w:jc w:val="both"/>
              <w:rPr>
                <w:rFonts/>
                <w:color w:val="262626" w:themeColor="text1" w:themeTint="D9"/>
              </w:rPr>
            </w:pPr>
            <w:r>
              <w:t>	La reserva  hidráulica española está al 78,1% de su capacidad total. Actualmente hay 43.694 hectómetros cúbicos (hm?3;) de agua embalsada, lo que representa una disminución de 498 hm3 (el 0,9% de la capacidad total de los embalses) con respecto a los niveles de la semana anterior, con variaciones entre -127 hm?3; en Tajo y de 3 hm?3; en Galicia Costa.</w:t>
            </w:r>
          </w:p>
          <w:p>
            <w:pPr>
              <w:ind w:left="-284" w:right="-427"/>
              <w:jc w:val="both"/>
              <w:rPr>
                <w:rFonts/>
                <w:color w:val="262626" w:themeColor="text1" w:themeTint="D9"/>
              </w:rPr>
            </w:pPr>
            <w:r>
              <w:t>	 La reserva por ámbitos es la siguiente:</w:t>
            </w:r>
          </w:p>
          <w:p>
            <w:pPr>
              <w:ind w:left="-284" w:right="-427"/>
              <w:jc w:val="both"/>
              <w:rPr>
                <w:rFonts/>
                <w:color w:val="262626" w:themeColor="text1" w:themeTint="D9"/>
              </w:rPr>
            </w:pPr>
            <w:r>
              <w:t>	Cantábrico Oriental se encuentra al 82,3%       </w:t>
            </w:r>
          </w:p>
          <w:p>
            <w:pPr>
              <w:ind w:left="-284" w:right="-427"/>
              <w:jc w:val="both"/>
              <w:rPr>
                <w:rFonts/>
                <w:color w:val="262626" w:themeColor="text1" w:themeTint="D9"/>
              </w:rPr>
            </w:pPr>
            <w:r>
              <w:t>	Cantábrico Occidental al 89,5 %</w:t>
            </w:r>
          </w:p>
          <w:p>
            <w:pPr>
              <w:ind w:left="-284" w:right="-427"/>
              <w:jc w:val="both"/>
              <w:rPr>
                <w:rFonts/>
                <w:color w:val="262626" w:themeColor="text1" w:themeTint="D9"/>
              </w:rPr>
            </w:pPr>
            <w:r>
              <w:t>	Miño-Sil al 85,1%,</w:t>
            </w:r>
          </w:p>
          <w:p>
            <w:pPr>
              <w:ind w:left="-284" w:right="-427"/>
              <w:jc w:val="both"/>
              <w:rPr>
                <w:rFonts/>
                <w:color w:val="262626" w:themeColor="text1" w:themeTint="D9"/>
              </w:rPr>
            </w:pPr>
            <w:r>
              <w:t>	Galicia Costa al 85,8%</w:t>
            </w:r>
          </w:p>
          <w:p>
            <w:pPr>
              <w:ind w:left="-284" w:right="-427"/>
              <w:jc w:val="both"/>
              <w:rPr>
                <w:rFonts/>
                <w:color w:val="262626" w:themeColor="text1" w:themeTint="D9"/>
              </w:rPr>
            </w:pPr>
            <w:r>
              <w:t>	Cuencas internas del País Vasco al 95,2%</w:t>
            </w:r>
          </w:p>
          <w:p>
            <w:pPr>
              <w:ind w:left="-284" w:right="-427"/>
              <w:jc w:val="both"/>
              <w:rPr>
                <w:rFonts/>
                <w:color w:val="262626" w:themeColor="text1" w:themeTint="D9"/>
              </w:rPr>
            </w:pPr>
            <w:r>
              <w:t>	Duero al 91,1%</w:t>
            </w:r>
          </w:p>
          <w:p>
            <w:pPr>
              <w:ind w:left="-284" w:right="-427"/>
              <w:jc w:val="both"/>
              <w:rPr>
                <w:rFonts/>
                <w:color w:val="262626" w:themeColor="text1" w:themeTint="D9"/>
              </w:rPr>
            </w:pPr>
            <w:r>
              <w:t>	Tajo a 69,1%</w:t>
            </w:r>
          </w:p>
          <w:p>
            <w:pPr>
              <w:ind w:left="-284" w:right="-427"/>
              <w:jc w:val="both"/>
              <w:rPr>
                <w:rFonts/>
                <w:color w:val="262626" w:themeColor="text1" w:themeTint="D9"/>
              </w:rPr>
            </w:pPr>
            <w:r>
              <w:t>	Guadiana al 80,8%</w:t>
            </w:r>
          </w:p>
          <w:p>
            <w:pPr>
              <w:ind w:left="-284" w:right="-427"/>
              <w:jc w:val="both"/>
              <w:rPr>
                <w:rFonts/>
                <w:color w:val="262626" w:themeColor="text1" w:themeTint="D9"/>
              </w:rPr>
            </w:pPr>
            <w:r>
              <w:t>	Tinto, Odiel y Piedras al 83,4%</w:t>
            </w:r>
          </w:p>
          <w:p>
            <w:pPr>
              <w:ind w:left="-284" w:right="-427"/>
              <w:jc w:val="both"/>
              <w:rPr>
                <w:rFonts/>
                <w:color w:val="262626" w:themeColor="text1" w:themeTint="D9"/>
              </w:rPr>
            </w:pPr>
            <w:r>
              <w:t>	Guadalete-Barbate al 79,2%</w:t>
            </w:r>
          </w:p>
          <w:p>
            <w:pPr>
              <w:ind w:left="-284" w:right="-427"/>
              <w:jc w:val="both"/>
              <w:rPr>
                <w:rFonts/>
                <w:color w:val="262626" w:themeColor="text1" w:themeTint="D9"/>
              </w:rPr>
            </w:pPr>
            <w:r>
              <w:t>	Guadalquivir al 80,5%</w:t>
            </w:r>
          </w:p>
          <w:p>
            <w:pPr>
              <w:ind w:left="-284" w:right="-427"/>
              <w:jc w:val="both"/>
              <w:rPr>
                <w:rFonts/>
                <w:color w:val="262626" w:themeColor="text1" w:themeTint="D9"/>
              </w:rPr>
            </w:pPr>
            <w:r>
              <w:t>	Cuenca Mediterránea Andaluza al 63,8%</w:t>
            </w:r>
          </w:p>
          <w:p>
            <w:pPr>
              <w:ind w:left="-284" w:right="-427"/>
              <w:jc w:val="both"/>
              <w:rPr>
                <w:rFonts/>
                <w:color w:val="262626" w:themeColor="text1" w:themeTint="D9"/>
              </w:rPr>
            </w:pPr>
            <w:r>
              <w:t>	Segura al 63,6%</w:t>
            </w:r>
          </w:p>
          <w:p>
            <w:pPr>
              <w:ind w:left="-284" w:right="-427"/>
              <w:jc w:val="both"/>
              <w:rPr>
                <w:rFonts/>
                <w:color w:val="262626" w:themeColor="text1" w:themeTint="D9"/>
              </w:rPr>
            </w:pPr>
            <w:r>
              <w:t>	Júcar al 47,7%</w:t>
            </w:r>
          </w:p>
          <w:p>
            <w:pPr>
              <w:ind w:left="-284" w:right="-427"/>
              <w:jc w:val="both"/>
              <w:rPr>
                <w:rFonts/>
                <w:color w:val="262626" w:themeColor="text1" w:themeTint="D9"/>
              </w:rPr>
            </w:pPr>
            <w:r>
              <w:t>	Ebro al 83,9%</w:t>
            </w:r>
          </w:p>
          <w:p>
            <w:pPr>
              <w:ind w:left="-284" w:right="-427"/>
              <w:jc w:val="both"/>
              <w:rPr>
                <w:rFonts/>
                <w:color w:val="262626" w:themeColor="text1" w:themeTint="D9"/>
              </w:rPr>
            </w:pPr>
            <w:r>
              <w:t>	Cuencas internas de Cataluña al 91,6 %</w:t>
            </w:r>
          </w:p>
          <w:p>
            <w:pPr>
              <w:ind w:left="-284" w:right="-427"/>
              <w:jc w:val="both"/>
              <w:rPr>
                <w:rFonts/>
                <w:color w:val="262626" w:themeColor="text1" w:themeTint="D9"/>
              </w:rPr>
            </w:pPr>
            <w:r>
              <w:t>	 Las precipitaciones han sido escasas en todo el territorio nacional. La máxima se ha producido en San Sebastián-Donostia con 36,5 mm (36,5 l/ m2).</w:t>
            </w:r>
          </w:p>
          <w:p>
            <w:pPr>
              <w:ind w:left="-284" w:right="-427"/>
              <w:jc w:val="both"/>
              <w:rPr>
                <w:rFonts/>
                <w:color w:val="262626" w:themeColor="text1" w:themeTint="D9"/>
              </w:rPr>
            </w:pPr>
            <w:r>
              <w:t>	 La situación de las cuencas, en hectómetros cúbicos, se detalla en el cuadro adjunto:</w:t>
            </w:r>
          </w:p>
          <w:p>
            <w:pPr>
              <w:ind w:left="-284" w:right="-427"/>
              <w:jc w:val="both"/>
              <w:rPr>
                <w:rFonts/>
                <w:color w:val="262626" w:themeColor="text1" w:themeTint="D9"/>
              </w:rPr>
            </w:pPr>
            <w:r>
              <w:t>	AMBITOS RESERVA TOTAL EMBALSADA Capacidad Total Año Actual Año Anterior Media 10 Años Cantábrico Oriental 79 65 66 64 Cantábrico Occidental 554 496 472 473 Miño-Sil 3.030 2.578 2.504 2.364 Galicia Costa 684 587 585 522 Cuencas internas del País Vasco 21 20 19 20 Duero 7.507 6.839 6.830 5.972 Tajo 11.012 7.610 8.143 7.025 Guadiana 9.266 7.489 7.783 6.447 Tinto, Odiel y Piedras 229 191 196 198 Guadalete-Barbate 1.651 1.307 1.427 1.141 Guadalquivir 8.101 6.519 7.335 5.464 Vertiente Atlántica 42.134 33.701 35.360 29.690 Cuenca Mediterránea Andaluza 1.177 751 835 657 Segura 1.141 726 868 523 Júcar 3.337 1.593 1.794 1.420    Ebro 7.511 6.303 6.311 5.686 Cuencas internas de Cataluña 677 620 580 516 Vertiente Mediterránea 13.843 9.993 10.388 8.802 Total peninsular 55.977 43.694 45.748  38.492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https://www.notasdeprensa.es/la-reserva-hidraulica-espanola-se-encuentra-al_7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