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reserva hidráulica española se encuentra al 72,2% de su capacidad total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5/08/2014</w:t>
            </w:r>
          </w:p>
          <w:p>
            <w:pPr>
              <w:ind w:left="-284" w:right="-427"/>
              <w:jc w:val="both"/>
              <w:rPr>
                <w:rFonts/>
                <w:color w:val="262626" w:themeColor="text1" w:themeTint="D9"/>
              </w:rPr>
            </w:pPr>
            <w:r>
              <w:t>Disminuye en -922 hectómetros cúbicos respecto a la semana anterior</w:t>
            </w:r>
          </w:p>
          <w:p>
            <w:pPr>
              <w:ind w:left="-284" w:right="-427"/>
              <w:jc w:val="both"/>
              <w:rPr>
                <w:rFonts/>
                <w:color w:val="262626" w:themeColor="text1" w:themeTint="D9"/>
              </w:rPr>
            </w:pPr>
            <w:r>
              <w:t>La reserva  hidráulica española está al 72,2% de su capacidad total. Actualmente hay 39.966 hectómetros cúbicos (hm?3;) de agua embalsada, lo que representa una disminución de -922 hm3 (el -1,7% de la capacidad total de los embalses) con respecto a los niveles de la semana anterior, con variaciones entre -234 hm?3; en Tajo y  0 hm?3; en Cuencas Internas de Cataluña.</w:t>
            </w:r>
          </w:p>
          <w:p>
            <w:pPr>
              <w:ind w:left="-284" w:right="-427"/>
              <w:jc w:val="both"/>
              <w:rPr>
                <w:rFonts/>
                <w:color w:val="262626" w:themeColor="text1" w:themeTint="D9"/>
              </w:rPr>
            </w:pPr>
            <w:r>
              <w:t>La reserva por ámbitos es la siguiente:</w:t>
            </w:r>
          </w:p>
          <w:p>
            <w:pPr>
              <w:ind w:left="-284" w:right="-427"/>
              <w:jc w:val="both"/>
              <w:rPr>
                <w:rFonts/>
                <w:color w:val="262626" w:themeColor="text1" w:themeTint="D9"/>
              </w:rPr>
            </w:pPr>
            <w:r>
              <w:t>Cantábrico se encuentra al 65,4%         </w:t>
            </w:r>
          </w:p>
          <w:p>
            <w:pPr>
              <w:ind w:left="-284" w:right="-427"/>
              <w:jc w:val="both"/>
              <w:rPr>
                <w:rFonts/>
                <w:color w:val="262626" w:themeColor="text1" w:themeTint="D9"/>
              </w:rPr>
            </w:pPr>
            <w:r>
              <w:t>Miño-Sil al 73,3%,</w:t>
            </w:r>
          </w:p>
          <w:p>
            <w:pPr>
              <w:ind w:left="-284" w:right="-427"/>
              <w:jc w:val="both"/>
              <w:rPr>
                <w:rFonts/>
                <w:color w:val="262626" w:themeColor="text1" w:themeTint="D9"/>
              </w:rPr>
            </w:pPr>
            <w:r>
              <w:t>Galicia Costa al 81,0%</w:t>
            </w:r>
          </w:p>
          <w:p>
            <w:pPr>
              <w:ind w:left="-284" w:right="-427"/>
              <w:jc w:val="both"/>
              <w:rPr>
                <w:rFonts/>
                <w:color w:val="262626" w:themeColor="text1" w:themeTint="D9"/>
              </w:rPr>
            </w:pPr>
            <w:r>
              <w:t>Cuencas internas del País Vasco al 81,0%</w:t>
            </w:r>
          </w:p>
          <w:p>
            <w:pPr>
              <w:ind w:left="-284" w:right="-427"/>
              <w:jc w:val="both"/>
              <w:rPr>
                <w:rFonts/>
                <w:color w:val="262626" w:themeColor="text1" w:themeTint="D9"/>
              </w:rPr>
            </w:pPr>
            <w:r>
              <w:t>Duero al 78,6%</w:t>
            </w:r>
          </w:p>
          <w:p>
            <w:pPr>
              <w:ind w:left="-284" w:right="-427"/>
              <w:jc w:val="both"/>
              <w:rPr>
                <w:rFonts/>
                <w:color w:val="262626" w:themeColor="text1" w:themeTint="D9"/>
              </w:rPr>
            </w:pPr>
            <w:r>
              <w:t>Tajo al 61,5%</w:t>
            </w:r>
          </w:p>
          <w:p>
            <w:pPr>
              <w:ind w:left="-284" w:right="-427"/>
              <w:jc w:val="both"/>
              <w:rPr>
                <w:rFonts/>
                <w:color w:val="262626" w:themeColor="text1" w:themeTint="D9"/>
              </w:rPr>
            </w:pPr>
            <w:r>
              <w:t>Guadiana al 79,8%</w:t>
            </w:r>
          </w:p>
          <w:p>
            <w:pPr>
              <w:ind w:left="-284" w:right="-427"/>
              <w:jc w:val="both"/>
              <w:rPr>
                <w:rFonts/>
                <w:color w:val="262626" w:themeColor="text1" w:themeTint="D9"/>
              </w:rPr>
            </w:pPr>
            <w:r>
              <w:t>Cuenca Atlántica Andaluza al 78,0%</w:t>
            </w:r>
          </w:p>
          <w:p>
            <w:pPr>
              <w:ind w:left="-284" w:right="-427"/>
              <w:jc w:val="both"/>
              <w:rPr>
                <w:rFonts/>
                <w:color w:val="262626" w:themeColor="text1" w:themeTint="D9"/>
              </w:rPr>
            </w:pPr>
            <w:r>
              <w:t>Guadalquivir al 78,8%</w:t>
            </w:r>
          </w:p>
          <w:p>
            <w:pPr>
              <w:ind w:left="-284" w:right="-427"/>
              <w:jc w:val="both"/>
              <w:rPr>
                <w:rFonts/>
                <w:color w:val="262626" w:themeColor="text1" w:themeTint="D9"/>
              </w:rPr>
            </w:pPr>
            <w:r>
              <w:t>Cuenca Mediterránea Andaluza al 63,9%</w:t>
            </w:r>
          </w:p>
          <w:p>
            <w:pPr>
              <w:ind w:left="-284" w:right="-427"/>
              <w:jc w:val="both"/>
              <w:rPr>
                <w:rFonts/>
                <w:color w:val="262626" w:themeColor="text1" w:themeTint="D9"/>
              </w:rPr>
            </w:pPr>
            <w:r>
              <w:t>Segura al 67,7%</w:t>
            </w:r>
          </w:p>
          <w:p>
            <w:pPr>
              <w:ind w:left="-284" w:right="-427"/>
              <w:jc w:val="both"/>
              <w:rPr>
                <w:rFonts/>
                <w:color w:val="262626" w:themeColor="text1" w:themeTint="D9"/>
              </w:rPr>
            </w:pPr>
            <w:r>
              <w:t>Júcar al 44,6%</w:t>
            </w:r>
          </w:p>
          <w:p>
            <w:pPr>
              <w:ind w:left="-284" w:right="-427"/>
              <w:jc w:val="both"/>
              <w:rPr>
                <w:rFonts/>
                <w:color w:val="262626" w:themeColor="text1" w:themeTint="D9"/>
              </w:rPr>
            </w:pPr>
            <w:r>
              <w:t>Ebro al 77,1%</w:t>
            </w:r>
          </w:p>
          <w:p>
            <w:pPr>
              <w:ind w:left="-284" w:right="-427"/>
              <w:jc w:val="both"/>
              <w:rPr>
                <w:rFonts/>
                <w:color w:val="262626" w:themeColor="text1" w:themeTint="D9"/>
              </w:rPr>
            </w:pPr>
            <w:r>
              <w:t>Cuencas internas de Cataluña al 80,4%</w:t>
            </w:r>
          </w:p>
          <w:p>
            <w:pPr>
              <w:ind w:left="-284" w:right="-427"/>
              <w:jc w:val="both"/>
              <w:rPr>
                <w:rFonts/>
                <w:color w:val="262626" w:themeColor="text1" w:themeTint="D9"/>
              </w:rPr>
            </w:pPr>
            <w:r>
              <w:t>Las precipitaciones han sido abundantes en toda la Península. La máxima se ha producido en Girona con 39,8 mm (39,8 l / m2).</w:t>
            </w:r>
          </w:p>
          <w:p>
            <w:pPr>
              <w:ind w:left="-284" w:right="-427"/>
              <w:jc w:val="both"/>
              <w:rPr>
                <w:rFonts/>
                <w:color w:val="262626" w:themeColor="text1" w:themeTint="D9"/>
              </w:rPr>
            </w:pPr>
            <w:r>
              <w:t>La situación de las cuencas, en hectómetros cúbicos, se detalla en el cuadro adjunto:</w:t>
            </w:r>
          </w:p>
                      AMBITOS RESERVA TOTAL EMBALSADA   Capacidad Total Año Actual Año Anterior Media 10 Años   Cantábrico 633 414 535 480   Miño-Sil 3.030 2.221 2.239 2.048   Galicia Costa 684 554 529 452   Cuencas internas del País Vasco 21 17 19 17   Duero 7.507 5.903 6.229 4.933   Tajo 11.012 6.774 7.278 5.915   Guadiana 8.632 6.890 7.186 5.667   Cuenca Atlántica Andaluza 1.880 1.466 1.642 1.194   Guadalquivir 8.101 6.383 7.117 4.620   Vertiente Atlántica 41.500 30.622 32.774 25.326   Cuenca Mediterránea Andaluza 1.177 752 923 580   Segura 1.141 772 786 412   Júcar 3.337 1.488 1.786 1.203       Ebro 7.511 5.788 6.331 4.840   Cuencas internas de Cataluña 677 544 634 499   Vertiente Mediterránea 13.843 9.344 10.460 7.534   Total peninsular 55.343 39.966 43.234 32.860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https://www.notasdeprensa.es/la-reserva-hidraulica-espanola-se-encuentra-al_3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