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08/01/2014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reserva hidráulica española se encuentra al 70,2% de su capacidad total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Aumenta en 1.955 hm³ respecto a la semana anterior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reserva  hidráulica española está al 70,2% de su capacidad total. Actualmente hay 38.867 hm?3; de agua embalsada, lo que representa un incremento de 1.955 hm3 (el 3,5%) con respecto a los niveles de la semana anterior, con variaciones entre  0 hm?3; en Cuencas internas de Cataluña Ebro y  653 hm?3; en Duero.</w:t>
            </w:r>
          </w:p>
          <w:p>
            <w:pPr>
              <w:ind w:left="-284" w:right="-427"/>
              <w:jc w:val="both"/>
              <w:rPr>
                <w:rFonts/>
                <w:color w:val="262626" w:themeColor="text1" w:themeTint="D9"/>
              </w:rPr>
            </w:pPr>
            <w:r>
              <w:t>	La reserva por ámbitos es la siguiente:</w:t>
            </w:r>
          </w:p>
          <w:p>
            <w:pPr>
              <w:ind w:left="-284" w:right="-427"/>
              <w:jc w:val="both"/>
              <w:rPr>
                <w:rFonts/>
                <w:color w:val="262626" w:themeColor="text1" w:themeTint="D9"/>
              </w:rPr>
            </w:pPr>
            <w:r>
              <w:t>	Cantábrico se encuentra al 83,7%         </w:t>
            </w:r>
          </w:p>
          <w:p>
            <w:pPr>
              <w:ind w:left="-284" w:right="-427"/>
              <w:jc w:val="both"/>
              <w:rPr>
                <w:rFonts/>
                <w:color w:val="262626" w:themeColor="text1" w:themeTint="D9"/>
              </w:rPr>
            </w:pPr>
            <w:r>
              <w:t>	Miño-Sil al 78,2%,</w:t>
            </w:r>
          </w:p>
          <w:p>
            <w:pPr>
              <w:ind w:left="-284" w:right="-427"/>
              <w:jc w:val="both"/>
              <w:rPr>
                <w:rFonts/>
                <w:color w:val="262626" w:themeColor="text1" w:themeTint="D9"/>
              </w:rPr>
            </w:pPr>
            <w:r>
              <w:t>	Galicia Costa al 86,7%</w:t>
            </w:r>
          </w:p>
          <w:p>
            <w:pPr>
              <w:ind w:left="-284" w:right="-427"/>
              <w:jc w:val="both"/>
              <w:rPr>
                <w:rFonts/>
                <w:color w:val="262626" w:themeColor="text1" w:themeTint="D9"/>
              </w:rPr>
            </w:pPr>
            <w:r>
              <w:t>	Cuencas internas del País Vasco  al 85,7%</w:t>
            </w:r>
          </w:p>
          <w:p>
            <w:pPr>
              <w:ind w:left="-284" w:right="-427"/>
              <w:jc w:val="both"/>
              <w:rPr>
                <w:rFonts/>
                <w:color w:val="262626" w:themeColor="text1" w:themeTint="D9"/>
              </w:rPr>
            </w:pPr>
            <w:r>
              <w:t>	Duero al 68,5%</w:t>
            </w:r>
          </w:p>
          <w:p>
            <w:pPr>
              <w:ind w:left="-284" w:right="-427"/>
              <w:jc w:val="both"/>
              <w:rPr>
                <w:rFonts/>
                <w:color w:val="262626" w:themeColor="text1" w:themeTint="D9"/>
              </w:rPr>
            </w:pPr>
            <w:r>
              <w:t>	Tajo al 57,3%</w:t>
            </w:r>
          </w:p>
          <w:p>
            <w:pPr>
              <w:ind w:left="-284" w:right="-427"/>
              <w:jc w:val="both"/>
              <w:rPr>
                <w:rFonts/>
                <w:color w:val="262626" w:themeColor="text1" w:themeTint="D9"/>
              </w:rPr>
            </w:pPr>
            <w:r>
              <w:t>	Guadiana al 78,5%</w:t>
            </w:r>
          </w:p>
          <w:p>
            <w:pPr>
              <w:ind w:left="-284" w:right="-427"/>
              <w:jc w:val="both"/>
              <w:rPr>
                <w:rFonts/>
                <w:color w:val="262626" w:themeColor="text1" w:themeTint="D9"/>
              </w:rPr>
            </w:pPr>
            <w:r>
              <w:t>	Cuenca Atlántica Andaluza al 75,3%</w:t>
            </w:r>
          </w:p>
          <w:p>
            <w:pPr>
              <w:ind w:left="-284" w:right="-427"/>
              <w:jc w:val="both"/>
              <w:rPr>
                <w:rFonts/>
                <w:color w:val="262626" w:themeColor="text1" w:themeTint="D9"/>
              </w:rPr>
            </w:pPr>
            <w:r>
              <w:t>	Guadalquivir al 80,4%</w:t>
            </w:r>
          </w:p>
          <w:p>
            <w:pPr>
              <w:ind w:left="-284" w:right="-427"/>
              <w:jc w:val="both"/>
              <w:rPr>
                <w:rFonts/>
                <w:color w:val="262626" w:themeColor="text1" w:themeTint="D9"/>
              </w:rPr>
            </w:pPr>
            <w:r>
              <w:t>	Cuenca Mediterránea Andaluza al 64,6%</w:t>
            </w:r>
          </w:p>
          <w:p>
            <w:pPr>
              <w:ind w:left="-284" w:right="-427"/>
              <w:jc w:val="both"/>
              <w:rPr>
                <w:rFonts/>
                <w:color w:val="262626" w:themeColor="text1" w:themeTint="D9"/>
              </w:rPr>
            </w:pPr>
            <w:r>
              <w:t>	Segura al 62,7%</w:t>
            </w:r>
          </w:p>
          <w:p>
            <w:pPr>
              <w:ind w:left="-284" w:right="-427"/>
              <w:jc w:val="both"/>
              <w:rPr>
                <w:rFonts/>
                <w:color w:val="262626" w:themeColor="text1" w:themeTint="D9"/>
              </w:rPr>
            </w:pPr>
            <w:r>
              <w:t>	Júcar al 48,4%</w:t>
            </w:r>
          </w:p>
          <w:p>
            <w:pPr>
              <w:ind w:left="-284" w:right="-427"/>
              <w:jc w:val="both"/>
              <w:rPr>
                <w:rFonts/>
                <w:color w:val="262626" w:themeColor="text1" w:themeTint="D9"/>
              </w:rPr>
            </w:pPr>
            <w:r>
              <w:t>	Ebro al 74,2%</w:t>
            </w:r>
          </w:p>
          <w:p>
            <w:pPr>
              <w:ind w:left="-284" w:right="-427"/>
              <w:jc w:val="both"/>
              <w:rPr>
                <w:rFonts/>
                <w:color w:val="262626" w:themeColor="text1" w:themeTint="D9"/>
              </w:rPr>
            </w:pPr>
            <w:r>
              <w:t>	Cuencas internas de Cataluña al 80,4%</w:t>
            </w:r>
          </w:p>
          <w:p>
            <w:pPr>
              <w:ind w:left="-284" w:right="-427"/>
              <w:jc w:val="both"/>
              <w:rPr>
                <w:rFonts/>
                <w:color w:val="262626" w:themeColor="text1" w:themeTint="D9"/>
              </w:rPr>
            </w:pPr>
            <w:r>
              <w:t>	Las precipitaciones han afectado las cuencas de la Vertiente Atlántica. La máxima se ha producido en Santiago de Compostela con 154,0 mm  (154,0 l / m2 ).</w:t>
            </w:r>
          </w:p>
          <w:p>
            <w:pPr>
              <w:ind w:left="-284" w:right="-427"/>
              <w:jc w:val="both"/>
              <w:rPr>
                <w:rFonts/>
                <w:color w:val="262626" w:themeColor="text1" w:themeTint="D9"/>
              </w:rPr>
            </w:pPr>
            <w:r>
              <w:t>	La situación de las cuencas, en hectómetros cúbicos, se detalla en el cuadro adjunto:</w:t>
            </w:r>
          </w:p>
          <w:p>
            <w:pPr>
              <w:ind w:left="-284" w:right="-427"/>
              <w:jc w:val="both"/>
              <w:rPr>
                <w:rFonts/>
                <w:color w:val="262626" w:themeColor="text1" w:themeTint="D9"/>
              </w:rPr>
            </w:pPr>
            <w:r>
              <w:t>	  </w:t>
            </w:r>
          </w:p>
          <w:p>
            <w:pPr>
              <w:ind w:left="-284" w:right="-427"/>
              <w:jc w:val="both"/>
              <w:rPr>
                <w:rFonts/>
                <w:color w:val="262626" w:themeColor="text1" w:themeTint="D9"/>
              </w:rPr>
            </w:pPr>
            <w:r>
              <w:t>	  AMBITOS RESERVA TOTAL EMBALSADA Capacidad Total Año Actual Año Anterior Media 10 Años Cantábrico 633 530 456 450 Miño-Sil 3.030 2.369 1.731 1.866 Galicia Costa 684 593 495 424 Cuencas internas del País Vasco 21 18 19 17 Duero 7.507 5.140 2.731 4.297 Tajo 11.012 6.306 4.516 5.536 Guadiana 8.632 6.777 5.759 5.586 Cuenca Atlántica Andaluza 1.880 1.416 1.404 1.170 Guadalquivir 8.101 6.513 5.918 4.554 Vertiente Atlántica 41.500 29.662 23.029 23.900 Cuenca Mediterránea Andaluza 1.177 760 853 531 Segura 1.141 715 572 331 Júcar 3.337 1.615 1.337 1.090     Ebro 7.511 5.571 4.709 4.528 Cuencas internas de Cataluña 677 544 372 440 Vertiente Mediterránea 13.843 9.205 7.843 6.920 Total peninsular 55.343 38.867 30.872 30.820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CEDEX</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https://www.notasdeprensa.es/la-reserva-hidraulica-espanola-se-encuentra-al_2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