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reserva hidráulica española se encuentra al 82,6% de su capacidad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27/05/2014</w:t>
            </w:r>
          </w:p>
          <w:p>
            <w:pPr>
              <w:ind w:left="-284" w:right="-427"/>
              <w:jc w:val="both"/>
              <w:rPr>
                <w:rFonts/>
                <w:color w:val="262626" w:themeColor="text1" w:themeTint="D9"/>
              </w:rPr>
            </w:pPr>
            <w:r>
              <w:t>Disminuye en -33 hectómetros cúbicos respecto a la semana anterior</w:t>
            </w:r>
          </w:p>
          <w:p>
            <w:pPr>
              <w:ind w:left="-284" w:right="-427"/>
              <w:jc w:val="both"/>
              <w:rPr>
                <w:rFonts/>
                <w:color w:val="262626" w:themeColor="text1" w:themeTint="D9"/>
              </w:rPr>
            </w:pPr>
            <w:r>
              <w:t>La reserva  hidráulica española está al 82,6% de su capacidad total. Actualmente hay 45.715 hectómetros cúbicos (hm?3;) de agua embalsada, lo que representa una disminución de -33 hm3 (el -0,1%) con respecto a los niveles de la semana anterior, con variaciones entre -52 hm?3; en Guadiana  y  106 hm?3; en Ebro.</w:t>
            </w:r>
          </w:p>
          <w:p>
            <w:pPr>
              <w:ind w:left="-284" w:right="-427"/>
              <w:jc w:val="both"/>
              <w:rPr>
                <w:rFonts/>
                <w:color w:val="262626" w:themeColor="text1" w:themeTint="D9"/>
              </w:rPr>
            </w:pPr>
            <w:r>
              <w:t>La reserva por ámbitos es la siguiente:</w:t>
            </w:r>
          </w:p>
          <w:p>
            <w:pPr>
              <w:ind w:left="-284" w:right="-427"/>
              <w:jc w:val="both"/>
              <w:rPr>
                <w:rFonts/>
                <w:color w:val="262626" w:themeColor="text1" w:themeTint="D9"/>
              </w:rPr>
            </w:pPr>
            <w:r>
              <w:t>Cantábrico se encuentra al 84,2%         </w:t>
            </w:r>
          </w:p>
          <w:p>
            <w:pPr>
              <w:ind w:left="-284" w:right="-427"/>
              <w:jc w:val="both"/>
              <w:rPr>
                <w:rFonts/>
                <w:color w:val="262626" w:themeColor="text1" w:themeTint="D9"/>
              </w:rPr>
            </w:pPr>
            <w:r>
              <w:t>Miño-Sil al 82,9%,</w:t>
            </w:r>
          </w:p>
          <w:p>
            <w:pPr>
              <w:ind w:left="-284" w:right="-427"/>
              <w:jc w:val="both"/>
              <w:rPr>
                <w:rFonts/>
                <w:color w:val="262626" w:themeColor="text1" w:themeTint="D9"/>
              </w:rPr>
            </w:pPr>
            <w:r>
              <w:t>Galicia Costa al 85,7%</w:t>
            </w:r>
          </w:p>
          <w:p>
            <w:pPr>
              <w:ind w:left="-284" w:right="-427"/>
              <w:jc w:val="both"/>
              <w:rPr>
                <w:rFonts/>
                <w:color w:val="262626" w:themeColor="text1" w:themeTint="D9"/>
              </w:rPr>
            </w:pPr>
            <w:r>
              <w:t>Cuencas internas del País Vasco al 90,5%</w:t>
            </w:r>
          </w:p>
          <w:p>
            <w:pPr>
              <w:ind w:left="-284" w:right="-427"/>
              <w:jc w:val="both"/>
              <w:rPr>
                <w:rFonts/>
                <w:color w:val="262626" w:themeColor="text1" w:themeTint="D9"/>
              </w:rPr>
            </w:pPr>
            <w:r>
              <w:t>Duero al 91,1%</w:t>
            </w:r>
          </w:p>
          <w:p>
            <w:pPr>
              <w:ind w:left="-284" w:right="-427"/>
              <w:jc w:val="both"/>
              <w:rPr>
                <w:rFonts/>
                <w:color w:val="262626" w:themeColor="text1" w:themeTint="D9"/>
              </w:rPr>
            </w:pPr>
            <w:r>
              <w:t>Tajo al 73,9%</w:t>
            </w:r>
          </w:p>
          <w:p>
            <w:pPr>
              <w:ind w:left="-284" w:right="-427"/>
              <w:jc w:val="both"/>
              <w:rPr>
                <w:rFonts/>
                <w:color w:val="262626" w:themeColor="text1" w:themeTint="D9"/>
              </w:rPr>
            </w:pPr>
            <w:r>
              <w:t>Guadiana al 89,6%</w:t>
            </w:r>
          </w:p>
          <w:p>
            <w:pPr>
              <w:ind w:left="-284" w:right="-427"/>
              <w:jc w:val="both"/>
              <w:rPr>
                <w:rFonts/>
                <w:color w:val="262626" w:themeColor="text1" w:themeTint="D9"/>
              </w:rPr>
            </w:pPr>
            <w:r>
              <w:t>Cuenca Atlántica Andaluza al 86,0%</w:t>
            </w:r>
          </w:p>
          <w:p>
            <w:pPr>
              <w:ind w:left="-284" w:right="-427"/>
              <w:jc w:val="both"/>
              <w:rPr>
                <w:rFonts/>
                <w:color w:val="262626" w:themeColor="text1" w:themeTint="D9"/>
              </w:rPr>
            </w:pPr>
            <w:r>
              <w:t>Guadalquivir al 89,9%</w:t>
            </w:r>
          </w:p>
          <w:p>
            <w:pPr>
              <w:ind w:left="-284" w:right="-427"/>
              <w:jc w:val="both"/>
              <w:rPr>
                <w:rFonts/>
                <w:color w:val="262626" w:themeColor="text1" w:themeTint="D9"/>
              </w:rPr>
            </w:pPr>
            <w:r>
              <w:t>Cuenca Mediterránea Andaluza al 70,7%</w:t>
            </w:r>
          </w:p>
          <w:p>
            <w:pPr>
              <w:ind w:left="-284" w:right="-427"/>
              <w:jc w:val="both"/>
              <w:rPr>
                <w:rFonts/>
                <w:color w:val="262626" w:themeColor="text1" w:themeTint="D9"/>
              </w:rPr>
            </w:pPr>
            <w:r>
              <w:t>Segura al 75,5%</w:t>
            </w:r>
          </w:p>
          <w:p>
            <w:pPr>
              <w:ind w:left="-284" w:right="-427"/>
              <w:jc w:val="both"/>
              <w:rPr>
                <w:rFonts/>
                <w:color w:val="262626" w:themeColor="text1" w:themeTint="D9"/>
              </w:rPr>
            </w:pPr>
            <w:r>
              <w:t>Júcar al 53,0%</w:t>
            </w:r>
          </w:p>
          <w:p>
            <w:pPr>
              <w:ind w:left="-284" w:right="-427"/>
              <w:jc w:val="both"/>
              <w:rPr>
                <w:rFonts/>
                <w:color w:val="262626" w:themeColor="text1" w:themeTint="D9"/>
              </w:rPr>
            </w:pPr>
            <w:r>
              <w:t>Ebro al 85,4%</w:t>
            </w:r>
          </w:p>
          <w:p>
            <w:pPr>
              <w:ind w:left="-284" w:right="-427"/>
              <w:jc w:val="both"/>
              <w:rPr>
                <w:rFonts/>
                <w:color w:val="262626" w:themeColor="text1" w:themeTint="D9"/>
              </w:rPr>
            </w:pPr>
            <w:r>
              <w:t>Cuencas internas de Cataluña al 85,4%</w:t>
            </w:r>
          </w:p>
          <w:p>
            <w:pPr>
              <w:ind w:left="-284" w:right="-427"/>
              <w:jc w:val="both"/>
              <w:rPr>
                <w:rFonts/>
                <w:color w:val="262626" w:themeColor="text1" w:themeTint="D9"/>
              </w:rPr>
            </w:pPr>
            <w:r>
              <w:t>Las precipitaciones han sido abundantes en toda la Península. La máxima se ha producido en Pamplona con 87,3 mm ( 87,3 l / m2).</w:t>
            </w:r>
          </w:p>
          <w:p>
            <w:pPr>
              <w:ind w:left="-284" w:right="-427"/>
              <w:jc w:val="both"/>
              <w:rPr>
                <w:rFonts/>
                <w:color w:val="262626" w:themeColor="text1" w:themeTint="D9"/>
              </w:rPr>
            </w:pPr>
            <w:r>
              <w:t>La situación de las cuencas, en hectómetros cúbicos, se detalla en el cuadro adjunto:</w:t>
            </w:r>
          </w:p>
                       AMBITOS RESERVA TOTAL EMBALSADA   Capacidad Total Año Actual Año Anterior Media 10 Años   Cantábrico 633 533 577 541   Miño-Sil 3.030 2.511 2.630 2.357   Galicia Costa 684 586 588 519   Cuencas internas del País Vasco 21 19 21 20   Duero 7.507 6.841 6.887 5.873   Tajo 11.012 8.138 8.619 6.931   Guadiana 8.632 7.731 7.990 6.389   Cuenca Atlántica Andaluza 1.880 1.617 1.792 1.334   Guadalquivir 8.101 7.283 7.689 5.359   Vertiente Atlántica 41.500 35.259 36.793 29.323   Cuenca Mediterránea Andaluza 1.177 832 971 634   Segura 1.141 861 813 467   Júcar 3.337 1.768 1.956 1.381       Ebro 7.511 6.417 6.285 5.662   Cuencas internas de Cataluña 677 578 623 529   Vertiente Mediterránea 13.843 10.456 10.648 8.673   Total peninsular 55.343 45.715 47.441 37.996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https://www.notasdeprensa.es/la-reserva-hidraulica-espanola-se-encuentra-al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