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red UNAD celebra elecciones y renueva sus órganos de Gobierno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10/03/2015 - Nuestras entidades</w:t>
            </w:r>
          </w:p>
          <w:p>
            <w:pPr>
              <w:ind w:left="-284" w:right="-427"/>
              <w:jc w:val="both"/>
              <w:rPr>
                <w:rFonts/>
                <w:color w:val="262626" w:themeColor="text1" w:themeTint="D9"/>
              </w:rPr>
            </w:pPr>
            <w:r>
              <w:t>	 			 			La red UNAD celebra elecciones y renueva sus órganos de Gobierno			 	   </w:t>
            </w:r>
          </w:p>
          <w:p>
            <w:pPr>
              <w:ind w:left="-284" w:right="-427"/>
              <w:jc w:val="both"/>
              <w:rPr>
                <w:rFonts/>
                <w:color w:val="262626" w:themeColor="text1" w:themeTint="D9"/>
              </w:rPr>
            </w:pPr>
            <w:r>
              <w:t>			La red Unión de Asociaciones y Entidades de Atención al Drogodependiente celebró sus elecciones el pasado viernes, 6 de marzo en el contexto de la asamblea general de la organización.  La candidatura elegida ha sido la formada por Luciano Poyato que será el Presidente de la organización durante los próximos 4 años;  Felisa Pérez Antón, Vicepresidenta 1ª, Carmen Martínez Perza,Vicepresidenta 2ª. La candidatura se completa con Francisco López Segarra, como Secretario y con María Lidia Rodríguez Santana de Tesorera. Estas elecciones coinciden con la celebración del 30 aniversario de UNAD.</w:t>
            </w:r>
          </w:p>
          <w:p>
            <w:pPr>
              <w:ind w:left="-284" w:right="-427"/>
              <w:jc w:val="both"/>
              <w:rPr>
                <w:rFonts/>
                <w:color w:val="262626" w:themeColor="text1" w:themeTint="D9"/>
              </w:rPr>
            </w:pPr>
            <w:r>
              <w:t>			Los  principales retos que afrontará el nuevo equipo de Gobierno se alinearán con los objetivos marcados en el III Plan estratégico que desarrolla la entidad. A grandes rasgos, se  trabajará para defender el mantenimiento de la red pública y privada de las adicciones, también para que UNAD sea el principal referente del sector y su modelo de abordaje se reconozca en  todos los entornos y contemple las diversidades que atiende esta red asociativa. Además se impulsará que las entidades de UNAD puedan construir un modelo territorial representativo, con auténtica capacidad de interlocución ante las administraciones y los distintos agentes sociales. Estos, son sólo algunos de los grandes objetivos que marcarán la nueva etapa que inicia la organización en este 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https://www.notasdeprensa.es/la-red-unad-celebra-elecciones-y-renueva-sus_1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