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principal concentración de hidrocarburos del buque Oleg Naydenov se sitúa a 130 kilómetros de la costa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principal concentración de hidrocarburos procedentes del buque de bandera rusa Oleg Naydenov se encuentra a 130 kilómetros de la costa sur de Gran Canaria, según el informe de reconocimiento aéreo realizado en la mañana de hoy por el avión Sasemar 101 de Salvamento Marítimo.</w:t>
            </w:r>
          </w:p>
          <w:p>
            <w:pPr>
              <w:ind w:left="-284" w:right="-427"/>
              <w:jc w:val="both"/>
              <w:rPr>
                <w:rFonts/>
                <w:color w:val="262626" w:themeColor="text1" w:themeTint="D9"/>
              </w:rPr>
            </w:pPr>
            <w:r>
              <w:t>	Los barcos de Salvamento Marítimo que vigilan la zona del hundimiento han constatado que sigue saliendo combustible procedente del barco.</w:t>
            </w:r>
          </w:p>
          <w:p>
            <w:pPr>
              <w:ind w:left="-284" w:right="-427"/>
              <w:jc w:val="both"/>
              <w:rPr>
                <w:rFonts/>
                <w:color w:val="262626" w:themeColor="text1" w:themeTint="D9"/>
              </w:rPr>
            </w:pPr>
            <w:r>
              <w:t>	Las condiciones meteorológicas se mantienen, por lo que en la mañana de hoy no se ha podido recoger el combustible vertido al mar. Se continúan realizando maniobras de dispersión mecánica.</w:t>
            </w:r>
          </w:p>
          <w:p>
            <w:pPr>
              <w:ind w:left="-284" w:right="-427"/>
              <w:jc w:val="both"/>
              <w:rPr>
                <w:rFonts/>
                <w:color w:val="262626" w:themeColor="text1" w:themeTint="D9"/>
              </w:rPr>
            </w:pPr>
            <w:r>
              <w:t>	El dispositivo del Ministerio de Fomento está formado por los aviones Samemar 101 y 305 y los cuatro barcos de Salvamento Marítimo: los buques polivalentes “Luz de Mar” y “Miguel de Cervantes”, la “Guardamar Talía” y el remolcador “Punta Salinas”.</w:t>
            </w:r>
          </w:p>
          <w:p>
            <w:pPr>
              <w:ind w:left="-284" w:right="-427"/>
              <w:jc w:val="both"/>
              <w:rPr>
                <w:rFonts/>
                <w:color w:val="262626" w:themeColor="text1" w:themeTint="D9"/>
              </w:rPr>
            </w:pPr>
            <w:r>
              <w:t>	Plan Operativo de atención a la fauna</w:t>
            </w:r>
          </w:p>
          <w:p>
            <w:pPr>
              <w:ind w:left="-284" w:right="-427"/>
              <w:jc w:val="both"/>
              <w:rPr>
                <w:rFonts/>
                <w:color w:val="262626" w:themeColor="text1" w:themeTint="D9"/>
              </w:rPr>
            </w:pPr>
            <w:r>
              <w:t>	El Ministerio de Agricultura, Alimentación y Medio Ambiente ha diseñado un protocolo para la recogida de fauna afectada, que se distribuye entre todo el operativo y que incluye instrucciones sobre cómo proceder en caso de encontrar un animal afectado por el vertido (Protocolo de Aves y Protocolo de Tortugas).</w:t>
            </w:r>
          </w:p>
          <w:p>
            <w:pPr>
              <w:ind w:left="-284" w:right="-427"/>
              <w:jc w:val="both"/>
              <w:rPr>
                <w:rFonts/>
                <w:color w:val="262626" w:themeColor="text1" w:themeTint="D9"/>
              </w:rPr>
            </w:pPr>
            <w:r>
              <w:t>	Los medios asociados al operativo son:</w:t>
            </w:r>
          </w:p>
          <w:p>
            <w:pPr>
              <w:ind w:left="-284" w:right="-427"/>
              <w:jc w:val="both"/>
              <w:rPr>
                <w:rFonts/>
                <w:color w:val="262626" w:themeColor="text1" w:themeTint="D9"/>
              </w:rPr>
            </w:pPr>
            <w:r>
              <w:t>		Helicóptero de la Guardia Civil (base en Tenerife)</w:t>
            </w:r>
          </w:p>
          <w:p>
            <w:pPr>
              <w:ind w:left="-284" w:right="-427"/>
              <w:jc w:val="both"/>
              <w:rPr>
                <w:rFonts/>
                <w:color w:val="262626" w:themeColor="text1" w:themeTint="D9"/>
              </w:rPr>
            </w:pPr>
            <w:r>
              <w:t>		Patrullera de la Guardia Civil (base en el sur de Gran Canaria)</w:t>
            </w:r>
          </w:p>
          <w:p>
            <w:pPr>
              <w:ind w:left="-284" w:right="-427"/>
              <w:jc w:val="both"/>
              <w:rPr>
                <w:rFonts/>
                <w:color w:val="262626" w:themeColor="text1" w:themeTint="D9"/>
              </w:rPr>
            </w:pPr>
            <w:r>
              <w:t>		Centro de recuperación de fauna de Tafira (Cabildo de Gran Canaria)</w:t>
            </w:r>
          </w:p>
          <w:p>
            <w:pPr>
              <w:ind w:left="-284" w:right="-427"/>
              <w:jc w:val="both"/>
              <w:rPr>
                <w:rFonts/>
                <w:color w:val="262626" w:themeColor="text1" w:themeTint="D9"/>
              </w:rPr>
            </w:pPr>
            <w:r>
              <w:t>	La información del avión Sasemar 101 será utilizada como referencia para posteriores vuelos de la Guardia Civil y, si fuera preciso y estuviera cerca, se podrá utilizar la embarcación “Guardamar Talía” y el buque del Instituto Español de Oceanografía.		El Gobierno destaca la colaboración con la Administración canaria, ya que ponen a disposición también efectivos.		Asimismo, el Ministerio de Agricultura, Alimentación y Medio Ambiente realizará la distribución, entre las embarcaciones participantes en las distintas operaciones, del material adecuado para efectuar tanto la recogida como la inmovilización o el transporte de los animales.		Paralelamente, se planifica el reconocimiento aéreo del área de estudio potencialmente afectada por las manchas y, ante el avistamiento de fauna que pueda estar afectada, se procederá a tomar las coordenadas para que el animal pueda ser recogido desde una embarcación.		La patrullera de la Guardia Civil efectuará reconocimientos diarios, en coordinación con los trayectos del helicóptero, para avistamiento y recogida. Una vez recogido el animal afectado, será transportado para su tratamiento al Centro de Recuperación de Fauna de Tafira, que decidirá el tratamiento más adecuado para la especie afectada. Para las operaciones de rastreo, se cuenta también con la participación de la Sociedad para el Estudio de los Cetáceos en el Archipiélago Canario (SECAC).		Asimismo, el Ministerio de Agricultura, Alimentación y Medio Ambiente ha desplazado a tres técnicos especialistas en medio marino que, junto al personal de la Demarcación de Costas de Canarias, realizan un seguimiento permanente de la situación, acompañados desde el pasado sábado por el director general de Sostenibilidad de la Costa y del Mar, Pablo Saavedra.</w:t>
            </w:r>
          </w:p>
          <w:p>
            <w:pPr>
              <w:ind w:left="-284" w:right="-427"/>
              <w:jc w:val="both"/>
              <w:rPr>
                <w:rFonts/>
                <w:color w:val="262626" w:themeColor="text1" w:themeTint="D9"/>
              </w:rPr>
            </w:pPr>
            <w:r>
              <w:t>	Robot submarino</w:t>
            </w:r>
          </w:p>
          <w:p>
            <w:pPr>
              <w:ind w:left="-284" w:right="-427"/>
              <w:jc w:val="both"/>
              <w:rPr>
                <w:rFonts/>
                <w:color w:val="262626" w:themeColor="text1" w:themeTint="D9"/>
              </w:rPr>
            </w:pPr>
            <w:r>
              <w:t>	El robot submarino (Remote Operated Vehicle) que se va a encargar de la exploración del pecio se encuentra ya en Las Palmas y está previsto que la tripulación encargada de su operativa llegue a Canarias en la jornada de hoy. Las labores de localización y, en segundo término, exploración del pecio comenzarán a partir de mañana una vez se haya determinado la ubicación exacta del buque hundido a 2.400 metros de profundidad, según el plan de trabajo que va a presentar la empresa.</w:t>
            </w:r>
          </w:p>
          <w:p>
            <w:pPr>
              <w:ind w:left="-284" w:right="-427"/>
              <w:jc w:val="both"/>
              <w:rPr>
                <w:rFonts/>
                <w:color w:val="262626" w:themeColor="text1" w:themeTint="D9"/>
              </w:rPr>
            </w:pPr>
            <w:r>
              <w:t>	El robot que se utilizará para estos trabajos es un vehículo operado por control remoto, clase III, con una capacidad de alcance de hasta 3.000 metros de profundidad. Tiene una longitud de 3 metros, un peso de 4,1 toneladas y 200 caballos de potencia. Las imágenes que transmita permitirán disponer de información sobre la situación y estado en que se encuentra el buque hundido.</w:t>
            </w:r>
          </w:p>
          <w:p>
            <w:pPr>
              <w:ind w:left="-284" w:right="-427"/>
              <w:jc w:val="both"/>
              <w:rPr>
                <w:rFonts/>
                <w:color w:val="262626" w:themeColor="text1" w:themeTint="D9"/>
              </w:rPr>
            </w:pPr>
            <w:r>
              <w:t>	Durante la mañana de hoy se han celebrado en la Capitanía Marítima de Las Palmas bajo la dirección de la secretaria general de Transportes del Ministerio de Fomento, Carmen Librero, sendas reuniones del comité científico y del comité de coordinación creadas para hacer frente a las consecuencias del hundimiento del buque Oleg Naydenov.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https://www.notasdeprensa.es/la-principal-concentracion-de-hidrocarburos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