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Mutualidad de la Abogacía cerró el ejercicio 2014 con un crecimiento de aportaciones del 25,63% y una rentabilidad neta del 5,80%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volumen del ahorro gestionado creció hasta los 4.677 millones de euros, un 10,78 % más que en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número de afiliados mutualistas alcanzó los 184.073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aportaciones ingresadas ascendieron a 517,5 millones de euros, frente a los 411,9 millones del año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Mutualidad, Luis de Ángulo, acompañado por el vicepresidente, José María Antrás Badía, el Secretario, Antonio Albanese Membrillo y el Director General de la institución, Rafael Navas Lanchas, han presentado los resultados de la Memoria de actividades y el Balance de gestión del pasado ejercicio 2014, así como el presupuesto para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referencia a las grandes cifras, los principales logros del ejercicio 2014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volumen de las aportaciones ingresadas se ha elevado hasta alcanzar los 517,5 M de  euros, frente a los 411,9 millones del año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Mutualidad  ha cerrado sus cuentas con un superávit de 27,3 M de euros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excedente se va a acumular íntegramente a reservas, reforzando de este modo los fondos de solvencia. Los fondos propios alcanzarán, con esta aportación adicional, los 240,6 millones, un 12,80% más que el año anterior, consiguiendo por tanto a final de 2014 que el margen de solvencia siga estando cubierto íntegramente con fondos propios, sin necesidad de computar las plusvalías tácitas para cubrirlo, como exige Solvencia 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rentabilidad neta de las inversiones se ha situado en el 5,80% sobre los activos invertidos, lo que permite retribuir a los mutualistas con el 5,22% (90%).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número de mutualistas ha alcanzado los 184.073 al final del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Estas dos magnitudes, número de mutualistas y aumento del nivel de cobertura de ahorro, junto con la rentabilidad asignada han elevado en un 13,62% el ahorro gestionado, hasta alcanzar los 4.677 M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gastos de gestión se han situado en el 0,27%, reduciéndose con respecto del año anterior que fue del 0,30%, y frente al 1,5% de las aseguradores y de los fondos de pensiones, como consecuencia de la especialización de la Mutualidad por trabajar muy directamente con los mutualistas y gracias a una estricto criterio de austeridad marcado en la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cuanto a las inversiones, el valor contable de las mismas al cierre de 2014 ascendía a 5.675 M de euros, con un aumento del 27,87% frente al año anterior. De ellos 470 M corresponden a inversiones inmobiliarias, y los restantes 5.205 millones a inversiones financieras.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conjunto de nuestra cartera, un 78,89%, (4.477,3 millones de euros), está invertido en bonos de renta fija, con una elevada rentabilidad, superior al 5,50%; un 8,28%, (470 millones de euros), son inmuebles; el 6,61% está invertido en renta variable (acciones y fondos por importe de 375,4 millones de euros); y, finalmente, un 6,22% (353 millones de euros) corresponde a otros activos financieros y tesorería.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evolución de la Mutualidad (CONFIANZA)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evolución de la Mutualidad (SOLVENCIA)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PRESUPUESTO 2015: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presente ejercicio la Mutualidad se propone conseguir las siguientes  mejoras: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Crecimiento de las aportaciones de los mutualistas en un 5,09%, hasta situarse en los 543,8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Con ello, el volumen del ahorro gestionado llegará a los 5.277 millones, frente a los 4.677 del año pasado, un 11,83%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Rentabilidad prevista para 2015 del 5,55%, lo que dejaría la rentabilidad a favor de los mutualistas en el 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Los gastos comerciales y de administración podrían crecer hasta un 5,14% como consecuencia de nuevos proyectos  puestos en marcha ya en 2014 y que seguirán en 2015 y que están encaminados a mejorar los procesos y la transparencia de la Entidad (Informática, Solvencia II…). No obstante gracias al aumento del ahorro gestionado pasaría a tener un ratio del 0,25% frente al 0,27%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excedente podrá, con estas cifras, situarse en los 24 millones, con lo que la Mutualidad pasaría a tener unos fondos propios de 264,6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RESULTADOS PRIMER TRIMESTRE 2015: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Crecimiento de las aportaciones de los mutualistas en un 6,18% con respecto al mismo periodo del ejercicio anterior. Alcanzan los 135,6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ahorro gestionado se ha situado en los 4.872 millones, un 14,46% más que a marzo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ingresos financieros netos se han situado en 115,7 millones, un 88,30% mas que en el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rentabilidad anualizada estimada al cierre del ejercicio se sitúa en el 5,44%, muy cerca del objetivo final del 5,55% presupuestada.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https://www.notasdeprensa.es/la-mutualidad-de-la-abogacia-cerro-el_1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