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Junta aboga por estimular a los hosteleros de la comunidad para que cuenten en sus cartas con vinos andaluces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directora general de Calidad, Innovación y Fomento del Turismo, Manuela González, apostó hoy por estimular a los hosteleros y establecimientos de restauración de la comunidad para que dispongan en sus cartas de una oferta de vinos producidos en Andalucía, para reforzar la difusión y comercialización de este producto.González, que participó hoy en la mesa redonda ‘El vino y la cocina’ en el marco del certamen gastronómi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directora general de Calidad, Innovación y Fomento del Turismo, Manuela González, apostó hoy por estimular a los hosteleros y establecimientos de restauración de la comunidad para que dispongan en sus cartas de una oferta de vinos producidos en Andalucía, para reforzar la difusión y comercialización de este producto.González, que participó hoy en la mesa redonda ‘El vino y la cocina’ en el marco del certamen gastronómico Málaga Food  and  Wine Festival, abogó por incidir en la sensibilización de los empresarios de la hostelería para que pongan en valor los caldos autóctonos de la zona en la que se ubiquen y del conjunto de la región.Manifestó que desde la Consejería y por parte del conjunto de administraciones se están impulsando actuaciones para el desarrollo de la gastronomía como atractivo turístico, de modo que “se le otorgue entidad e importancia como un segmento propio a lo que antes era un producto complementario”.En este sentido, mencionó la iniciativa ‘Paisajes con Sabor’, que persigue reforzar la difusión rutas gastronómicas ya puestas en marcha y consolidadas, contemplándolas en las diferentes promociones del destino que se hagan en ferias del sector, acciones inversas o encuentros con profesionales.Así, hizo hincapié en que, para que actuaciones como esta profundicen en el desarrollo de la gastronomía como atractivo turístico, “es fundamental la implicación del sector privado”, y recordó que ya existen numerosos establecimientos de restauración adheridos a diferentes rutas.Al respecto, apuntó la posibilidad de establecer acuerdos con los hosteleros de la comunidad para que participen en iniciativas similares y “trabajen en ofrecer a sus clientes los productos autóctonos y que, entre ellos, cuenten con una representación de los vinos andaluces”.Segmento experiencialLa directora general de Calidad, Innovación y Fomento del Turismo destacó la labor de la Junta para constituir una oferta gastronómica “variada, diversa y multiterritorial” en el destino y valoró las posibilidades de este “segmento experiencial, que se vincula con las tradiciones, los productos de la tierra y la calidad de la oferta”.Además, subrayó que la gastronomía “supone un atractivo y reclamo turístico de primer orden, pero también es vertebrador de la economía de escala, ya que dinamiza y cuenta con capacidad de arrastre de otros sectores, como el industrial, el agroalimentario y el artesanal”.Junto a González también intervinieron en esta mesa redonda, celebrada en el Museo del Vino de Málaga, el director general del Patronato de Turismo Málaga-Costa del Sol, Arturo Bernal; el director general del Área de Turismo del Ayuntamiento de Málaga, Javier Hernández; y el secretario general del Consejo Regulador de las Denominaciones de Origen Málaga y Sierras de Málaga, José Manuel Moreno.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https://www.notasdeprensa.es/la-junta-aboga-por-estimular-a-los-hosteleros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