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Atenea celebra un curso de atención e intervención en drogodependencias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Fundación Atenea se diseña esta formación para la adquisición de conocimientos teórico-prácticos en materia de drogodependencias, que puedan complementar la experiencia y trabajo desarrollado por los equipos de profesionales en el ámbito del consumo de sustancias. Del mismo modo, dicha formación resulta de utilidad para los/as profesionales que se inicien en el ámbito del Tercer Sector de Acción Social.</w:t>
            </w:r>
          </w:p>
          <w:p>
            <w:pPr>
              <w:ind w:left="-284" w:right="-427"/>
              <w:jc w:val="both"/>
              <w:rPr>
                <w:rFonts/>
                <w:color w:val="262626" w:themeColor="text1" w:themeTint="D9"/>
              </w:rPr>
            </w:pPr>
            <w:r>
              <w:t>	Prerrequisitos del alumnado</w:t>
            </w:r>
          </w:p>
          <w:p>
            <w:pPr>
              <w:ind w:left="-284" w:right="-427"/>
              <w:jc w:val="both"/>
              <w:rPr>
                <w:rFonts/>
                <w:color w:val="262626" w:themeColor="text1" w:themeTint="D9"/>
              </w:rPr>
            </w:pPr>
            <w:r>
              <w:t>	El alumnado puede tener diferentes puntos de partida de conocimiento y experiencia laboral en el Tercer Sector de Acción Social con personas en cualquier contexto y situación de vulnerabilidad.</w:t>
            </w:r>
          </w:p>
          <w:p>
            <w:pPr>
              <w:ind w:left="-284" w:right="-427"/>
              <w:jc w:val="both"/>
              <w:rPr>
                <w:rFonts/>
                <w:color w:val="262626" w:themeColor="text1" w:themeTint="D9"/>
              </w:rPr>
            </w:pPr>
            <w:r>
              <w:t>	Equipo Docente</w:t>
            </w:r>
          </w:p>
          <w:p>
            <w:pPr>
              <w:ind w:left="-284" w:right="-427"/>
              <w:jc w:val="both"/>
              <w:rPr>
                <w:rFonts/>
                <w:color w:val="262626" w:themeColor="text1" w:themeTint="D9"/>
              </w:rPr>
            </w:pPr>
            <w:r>
              <w:t>	El equipo docente de Fundación Atenea se compone de profesionales con diferentes disciplinas que apoyará al alumnado durante su proceso de aprendizaje.</w:t>
            </w:r>
          </w:p>
          <w:p>
            <w:pPr>
              <w:ind w:left="-284" w:right="-427"/>
              <w:jc w:val="both"/>
              <w:rPr>
                <w:rFonts/>
                <w:color w:val="262626" w:themeColor="text1" w:themeTint="D9"/>
              </w:rPr>
            </w:pPr>
            <w:r>
              <w:t>	Programa</w:t>
            </w:r>
          </w:p>
          <w:p>
            <w:pPr>
              <w:ind w:left="-284" w:right="-427"/>
              <w:jc w:val="both"/>
              <w:rPr>
                <w:rFonts/>
                <w:color w:val="262626" w:themeColor="text1" w:themeTint="D9"/>
              </w:rPr>
            </w:pPr>
            <w:r>
              <w:t>	Objetivo General: Conocer los aspectos básicos teórico-prácticos de la atención y la intervención en drogodependencias.</w:t>
            </w:r>
          </w:p>
          <w:p>
            <w:pPr>
              <w:ind w:left="-284" w:right="-427"/>
              <w:jc w:val="both"/>
              <w:rPr>
                <w:rFonts/>
                <w:color w:val="262626" w:themeColor="text1" w:themeTint="D9"/>
              </w:rPr>
            </w:pPr>
            <w:r>
              <w:t>	Duración: 50 horas</w:t>
            </w:r>
          </w:p>
          <w:p>
            <w:pPr>
              <w:ind w:left="-284" w:right="-427"/>
              <w:jc w:val="both"/>
              <w:rPr>
                <w:rFonts/>
                <w:color w:val="262626" w:themeColor="text1" w:themeTint="D9"/>
              </w:rPr>
            </w:pPr>
            <w:r>
              <w:t>	Fechas: del 10 de noviembre al 23 de diciembre de 2015</w:t>
            </w:r>
          </w:p>
          <w:p>
            <w:pPr>
              <w:ind w:left="-284" w:right="-427"/>
              <w:jc w:val="both"/>
              <w:rPr>
                <w:rFonts/>
                <w:color w:val="262626" w:themeColor="text1" w:themeTint="D9"/>
              </w:rPr>
            </w:pPr>
            <w:r>
              <w:t>	Modalidad: On line</w:t>
            </w:r>
          </w:p>
          <w:p>
            <w:pPr>
              <w:ind w:left="-284" w:right="-427"/>
              <w:jc w:val="both"/>
              <w:rPr>
                <w:rFonts/>
                <w:color w:val="262626" w:themeColor="text1" w:themeTint="D9"/>
              </w:rPr>
            </w:pPr>
            <w:r>
              <w:t>	Índice de módulos:</w:t>
            </w:r>
          </w:p>
          <w:p>
            <w:pPr>
              <w:ind w:left="-284" w:right="-427"/>
              <w:jc w:val="both"/>
              <w:rPr>
                <w:rFonts/>
                <w:color w:val="262626" w:themeColor="text1" w:themeTint="D9"/>
              </w:rPr>
            </w:pPr>
            <w:r>
              <w:t>	Módulo 1: Introducción básica a las drogas, usos y efectos.</w:t>
            </w:r>
          </w:p>
          <w:p>
            <w:pPr>
              <w:ind w:left="-284" w:right="-427"/>
              <w:jc w:val="both"/>
              <w:rPr>
                <w:rFonts/>
                <w:color w:val="262626" w:themeColor="text1" w:themeTint="D9"/>
              </w:rPr>
            </w:pPr>
            <w:r>
              <w:t>	Objetivo: identificar los conceptos básicos en materia de drogodependencias, así como las principales sustancias en función de sus diferentes clasificaciones y los efectos que producen.</w:t>
            </w:r>
          </w:p>
          <w:p>
            <w:pPr>
              <w:ind w:left="-284" w:right="-427"/>
              <w:jc w:val="both"/>
              <w:rPr>
                <w:rFonts/>
                <w:color w:val="262626" w:themeColor="text1" w:themeTint="D9"/>
              </w:rPr>
            </w:pPr>
            <w:r>
              <w:t>	Módulo 2: Estrategias de atención e intervención en drogodependencias</w:t>
            </w:r>
          </w:p>
          <w:p>
            <w:pPr>
              <w:ind w:left="-284" w:right="-427"/>
              <w:jc w:val="both"/>
              <w:rPr>
                <w:rFonts/>
                <w:color w:val="262626" w:themeColor="text1" w:themeTint="D9"/>
              </w:rPr>
            </w:pPr>
            <w:r>
              <w:t>	Objetivo: Clarificar los diferentes modelos y estrategias de intervención identificando qué estrategias son las más adecuadas para cada situación.</w:t>
            </w:r>
          </w:p>
          <w:p>
            <w:pPr>
              <w:ind w:left="-284" w:right="-427"/>
              <w:jc w:val="both"/>
              <w:rPr>
                <w:rFonts/>
                <w:color w:val="262626" w:themeColor="text1" w:themeTint="D9"/>
              </w:rPr>
            </w:pPr>
            <w:r>
              <w:t>	Módulo 3: Habilidades sociales básicas para el trabajo con personas drogodependientes.</w:t>
            </w:r>
          </w:p>
          <w:p>
            <w:pPr>
              <w:ind w:left="-284" w:right="-427"/>
              <w:jc w:val="both"/>
              <w:rPr>
                <w:rFonts/>
                <w:color w:val="262626" w:themeColor="text1" w:themeTint="D9"/>
              </w:rPr>
            </w:pPr>
            <w:r>
              <w:t>	Objetivo: Analizar mis habilidades para el trabajo con personas drogodependientes y detectar fortalezas y debilidades.</w:t>
            </w:r>
          </w:p>
          <w:p>
            <w:pPr>
              <w:ind w:left="-284" w:right="-427"/>
              <w:jc w:val="both"/>
              <w:rPr>
                <w:rFonts/>
                <w:color w:val="262626" w:themeColor="text1" w:themeTint="D9"/>
              </w:rPr>
            </w:pPr>
            <w:r>
              <w:t>	Módulo 4: Contextos y variables de exclusión social asociados a las drogas </w:t>
            </w:r>
          </w:p>
          <w:p>
            <w:pPr>
              <w:ind w:left="-284" w:right="-427"/>
              <w:jc w:val="both"/>
              <w:rPr>
                <w:rFonts/>
                <w:color w:val="262626" w:themeColor="text1" w:themeTint="D9"/>
              </w:rPr>
            </w:pPr>
            <w:r>
              <w:t>	Objetivo: Conocer diferentes recursos disponibles en materia de drogodependencias así como los diferentes contextos y variables de exclusión de las personas drogodependientes.</w:t>
            </w:r>
          </w:p>
          <w:p>
            <w:pPr>
              <w:ind w:left="-284" w:right="-427"/>
              <w:jc w:val="both"/>
              <w:rPr>
                <w:rFonts/>
                <w:color w:val="262626" w:themeColor="text1" w:themeTint="D9"/>
              </w:rPr>
            </w:pPr>
            <w:r>
              <w:t>	Metodología y Evaluación</w:t>
            </w:r>
          </w:p>
          <w:p>
            <w:pPr>
              <w:ind w:left="-284" w:right="-427"/>
              <w:jc w:val="both"/>
              <w:rPr>
                <w:rFonts/>
                <w:color w:val="262626" w:themeColor="text1" w:themeTint="D9"/>
              </w:rPr>
            </w:pPr>
            <w:r>
              <w:t>	Esta formación se desarrollará íntegramente en modalidad on line, por lo que será necesaria la implicación del alumnado para la adquisición de su propio aprendizaje.</w:t>
            </w:r>
          </w:p>
          <w:p>
            <w:pPr>
              <w:ind w:left="-284" w:right="-427"/>
              <w:jc w:val="both"/>
              <w:rPr>
                <w:rFonts/>
                <w:color w:val="262626" w:themeColor="text1" w:themeTint="D9"/>
              </w:rPr>
            </w:pPr>
            <w:r>
              <w:t>	La plataforma estará abierta las 24 horas, por lo que será posible acceder en cualquier horario.</w:t>
            </w:r>
          </w:p>
          <w:p>
            <w:pPr>
              <w:ind w:left="-284" w:right="-427"/>
              <w:jc w:val="both"/>
              <w:rPr>
                <w:rFonts/>
                <w:color w:val="262626" w:themeColor="text1" w:themeTint="D9"/>
              </w:rPr>
            </w:pPr>
            <w:r>
              <w:t>	Partiendo del modelo pedagógico constructivista, se pretende que el alumnado construya su aprendizaje teniendo en cuenta sus conocimientos y su experiencia profesional e incluyendo los aspectos teóricos en una futura aplicación práctica.</w:t>
            </w:r>
          </w:p>
          <w:p>
            <w:pPr>
              <w:ind w:left="-284" w:right="-427"/>
              <w:jc w:val="both"/>
              <w:rPr>
                <w:rFonts/>
                <w:color w:val="262626" w:themeColor="text1" w:themeTint="D9"/>
              </w:rPr>
            </w:pPr>
            <w:r>
              <w:t>	La formación consta de 4 módulos los cuales se desarrollarán en aproximadamente 4 semanas, es decir una semana por módulo. Es importante mantener el ritmo del curso para desarrollarlo adecuadamente.</w:t>
            </w:r>
          </w:p>
          <w:p>
            <w:pPr>
              <w:ind w:left="-284" w:right="-427"/>
              <w:jc w:val="both"/>
              <w:rPr>
                <w:rFonts/>
                <w:color w:val="262626" w:themeColor="text1" w:themeTint="D9"/>
              </w:rPr>
            </w:pPr>
            <w:r>
              <w:t>	Criterios de evaluación:</w:t>
            </w:r>
          </w:p>
          <w:p>
            <w:pPr>
              <w:ind w:left="-284" w:right="-427"/>
              <w:jc w:val="both"/>
              <w:rPr>
                <w:rFonts/>
                <w:color w:val="262626" w:themeColor="text1" w:themeTint="D9"/>
              </w:rPr>
            </w:pPr>
            <w:r>
              <w:t>		Participación activa en los foros propuestos.</w:t>
            </w:r>
          </w:p>
          <w:p>
            <w:pPr>
              <w:ind w:left="-284" w:right="-427"/>
              <w:jc w:val="both"/>
              <w:rPr>
                <w:rFonts/>
                <w:color w:val="262626" w:themeColor="text1" w:themeTint="D9"/>
              </w:rPr>
            </w:pPr>
            <w:r>
              <w:t>		Entrega de las actividades propuestas y obtención de valoración positiva de las mismas.</w:t>
            </w:r>
          </w:p>
          <w:p>
            <w:pPr>
              <w:ind w:left="-284" w:right="-427"/>
              <w:jc w:val="both"/>
              <w:rPr>
                <w:rFonts/>
                <w:color w:val="262626" w:themeColor="text1" w:themeTint="D9"/>
              </w:rPr>
            </w:pPr>
            <w:r>
              <w:t>	Se considerará APTA a la persona que cumpla dichos requisitos, por lo que desde Fundación Atenea se expedirá el certificado de la formación.</w:t>
            </w:r>
          </w:p>
          <w:p>
            <w:pPr>
              <w:ind w:left="-284" w:right="-427"/>
              <w:jc w:val="both"/>
              <w:rPr>
                <w:rFonts/>
                <w:color w:val="262626" w:themeColor="text1" w:themeTint="D9"/>
              </w:rPr>
            </w:pPr>
            <w:r>
              <w:t>	  Coste y método de pago Tarifa normal: 80€ para profesionales en activo Tarifa reducida: 60€ para profesionales en desempleo que acrediten dicha situación en al inicio de la formación.</w:t>
            </w:r>
          </w:p>
          <w:p>
            <w:pPr>
              <w:ind w:left="-284" w:right="-427"/>
              <w:jc w:val="both"/>
              <w:rPr>
                <w:rFonts/>
                <w:color w:val="262626" w:themeColor="text1" w:themeTint="D9"/>
              </w:rPr>
            </w:pPr>
            <w:r>
              <w:t>	El método de pago se realizará mediante transferencia bancaria.</w:t>
            </w:r>
          </w:p>
          <w:p>
            <w:pPr>
              <w:ind w:left="-284" w:right="-427"/>
              <w:jc w:val="both"/>
              <w:rPr>
                <w:rFonts/>
                <w:color w:val="262626" w:themeColor="text1" w:themeTint="D9"/>
              </w:rPr>
            </w:pPr>
            <w:r>
              <w:t>	Indicar en la transferencia bancaria indicando Nombre, Apellido 1º y 2º, así como la Referencia ID001 (Ejm. Lucía Sánchez Ruiz ID001) al siguiente nº de cuenta:</w:t>
            </w:r>
          </w:p>
          <w:p>
            <w:pPr>
              <w:ind w:left="-284" w:right="-427"/>
              <w:jc w:val="both"/>
              <w:rPr>
                <w:rFonts/>
                <w:color w:val="262626" w:themeColor="text1" w:themeTint="D9"/>
              </w:rPr>
            </w:pPr>
            <w:r>
              <w:t>	TRIODOS BANK ES89 1491 0001 2720 2710 6828</w:t>
            </w:r>
          </w:p>
          <w:p>
            <w:pPr>
              <w:ind w:left="-284" w:right="-427"/>
              <w:jc w:val="both"/>
              <w:rPr>
                <w:rFonts/>
                <w:color w:val="262626" w:themeColor="text1" w:themeTint="D9"/>
              </w:rPr>
            </w:pPr>
            <w:r>
              <w:t>	Formalización de la inscripción</w:t>
            </w:r>
          </w:p>
          <w:p>
            <w:pPr>
              <w:ind w:left="-284" w:right="-427"/>
              <w:jc w:val="both"/>
              <w:rPr>
                <w:rFonts/>
                <w:color w:val="262626" w:themeColor="text1" w:themeTint="D9"/>
              </w:rPr>
            </w:pPr>
            <w:r>
              <w:t>	Completar el formulario de inscripción ajuntando el comprobante de la transferencia bancaria por el importe indicado, así como el justificante de situación de desempleo en vigor en el caso de acogerse a la tarifa reducida.</w:t>
            </w:r>
          </w:p>
          <w:p>
            <w:pPr>
              <w:ind w:left="-284" w:right="-427"/>
              <w:jc w:val="both"/>
              <w:rPr>
                <w:rFonts/>
                <w:color w:val="262626" w:themeColor="text1" w:themeTint="D9"/>
              </w:rPr>
            </w:pPr>
            <w:r>
              <w:t>	Encontrará el formulario de inscripción en la web de Fundación Atenea. http://fundacionatenea.org</w:t>
            </w:r>
          </w:p>
          <w:p>
            <w:pPr>
              <w:ind w:left="-284" w:right="-427"/>
              <w:jc w:val="both"/>
              <w:rPr>
                <w:rFonts/>
                <w:color w:val="262626" w:themeColor="text1" w:themeTint="D9"/>
              </w:rPr>
            </w:pPr>
            <w:r>
              <w:t>	Contacto</w:t>
            </w:r>
          </w:p>
          <w:p>
            <w:pPr>
              <w:ind w:left="-284" w:right="-427"/>
              <w:jc w:val="both"/>
              <w:rPr>
                <w:rFonts/>
                <w:color w:val="262626" w:themeColor="text1" w:themeTint="D9"/>
              </w:rPr>
            </w:pPr>
            <w:r>
              <w:t>	Para cualquier duda, contacte con nosotras/os a través de ateneaformacion@fundacionatenea.org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https://www.notasdeprensa.es/la-fundacion-atenea-celebra-un-curso-de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