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Málaga el 06/07/2021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La empresa de creación de stands en Barcelona, M&P Stands, ha sido premiada por H&T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Los premios H&T celebraron su segunda edición el pasado mes de abril con gran éxito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El Salón de Innovación en Hostelería, H and T, premia a empresas y profesionales por sus iniciativas innovadoras en los ámbitos hostelero, hotelero y turístico a través de los I H and T Awards.</w:t></w:r></w:p><w:p><w:pPr><w:ind w:left="-284" w:right="-427"/>	<w:jc w:val="both"/><w:rPr><w:rFonts/><w:color w:val="262626" w:themeColor="text1" w:themeTint="D9"/></w:rPr></w:pPr><w:r><w:t>Está entendida como una plataforma para poner en valor los procesos de transformación digital de los negocios hostelero, hotelero y turístico.</w:t></w:r></w:p><w:p><w:pPr><w:ind w:left="-284" w:right="-427"/>	<w:jc w:val="both"/><w:rPr><w:rFonts/><w:color w:val="262626" w:themeColor="text1" w:themeTint="D9"/></w:rPr></w:pPr><w:r><w:t>Este año, el diseño de stand creado por la empresa M and P stands, MONTECELIO-Cafento, ha sido premiada por el jurado de la 2ª edición de los H and T AWARDS en la categoría "Mención especial del jurado a la empresa expositora H and T 2021 por su compromiso con los ODS". En nombre de todo el equipo y del Jurado, han trasladado la enhorabuena y agradecimiento por su labor e implicación en esta edición de H and T.</w:t></w:r></w:p><w:p><w:pPr><w:ind w:left="-284" w:right="-427"/>	<w:jc w:val="both"/><w:rPr><w:rFonts/><w:color w:val="262626" w:themeColor="text1" w:themeTint="D9"/></w:rPr></w:pPr><w:r><w:t>La entrega de premios se celebró el pasado miércoles 28 de abril en FYCMA, durante el acto de clausura de H and T 2021. Reflejando la dimensión e importancia que merecen estos galardones, en el acto final informativo de la clausura y cierre del salón celebrado en Málaga. Un total de 6000 visitantes, 130 empresas exponentes y 120 ponentes, se reunieron en Málaga. Destacando la asistencia de Dani García, Blanca Pérez Sauquillo, Paco Morales o Carolina Sánchez.</w:t></w:r></w:p><w:p><w:pPr><w:ind w:left="-284" w:right="-427"/>	<w:jc w:val="both"/><w:rPr><w:rFonts/><w:color w:val="262626" w:themeColor="text1" w:themeTint="D9"/></w:rPr></w:pPr><w:r><w:t>Desde la empresa de creación de stands en Barcelona, M and P stands, agradece tanto el premio como la difusión en medios de comunicación y redes sociales del equipo de Comunicación de Salón H and T así como el de su cliente desde hace varios años Cafento / Montecelio que celebra junto a ellos este éxito compartido con el premio.</w:t></w:r></w:p><w:p><w:pPr><w:ind w:left="-284" w:right="-427"/>	<w:jc w:val="both"/><w:rPr><w:rFonts/><w:color w:val="262626" w:themeColor="text1" w:themeTint="D9"/></w:rPr></w:pPr><w:r><w:t>Los premios H and T Awards 2022,ya están preparando la edición 2022 que tendrá lugar del 7 al 9 de febrero, y ya están abiertas las inscripciones para todos aquellos que quieran participar. Actividades, Jornadas y Talleres paralelos organizadas por empresas y entidades que se celebrarán durante los tres días de Salón H and T.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M&P Stands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+34 93 426 00 99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https://www.notasdeprensa.es/la-empresa-de-creacion-de-stands-en-barcelona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Marketing Cataluña Turismo Emprendedores Restauración Premios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