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economía del Internet móvil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Vivimos en la era de la movilidad. Consumidores, empresas y organizaciones impulsan día a día el crecimiento exponencial del uso del Internet móvil en Europa. El impacto social y económico generado por este crecimiento permite desarrollar nuevos servicios y aplicaciones móviles para prácticamente cualquier ámbito de nuestras vidas.  De acuerdo con el estudio La economía del Internet móvil en Europa, realizado por The Boston Consulting Group para Google y presentado hoy en la sede del IESE, sólo en Alemania, España, Francia, Italia y Reino Unido el Internet móvil ha generado unos ingresos de 90.000 millones de euros en 2013 y ha creado 500.000 puestos de trabajo, la mitad de ellos basados físicamente en dichos países.         Gráfico del estudio de BCG 2014    El estudio, además, estima que para 2017 en este grupo de países, los ingresos generados por el Internet móvil aumentarán hasta los 230.000 millones de euros, lo que supone un crecimiento del 25% anual. Se espera que este incremento no provenga de un aumento de precios, sino que esté impulsado por unas conexiones mejores y más asequibles, por las aplicaciones, el contenido y los servicios derivados de este ecosistema, y por la rápida expansión de las compras y la publicidad a través de dispositivos móviles.  Sólo en 2013, se produjeron en todo el mundo 102.000 millones de descargas (de las cuales 9.200 millones fueron descargas de pago), un 60% más que en 2012. Y aunque muchas aplicaciones sean gratuitas, los ingresos por apps en los 13 países de la muestra (Alemania, Australia, Brasil, Canadá, China, Corea del Sur, España, Estados Unidos, Francia, India, Italia, Japón y Reino Unido) alcanzaron los 26.000 millones de dólares en 2013 y llegarán casi a triplicarse hasta los 76.000 millones en 2017.  BCG destaca también que la competencia se encuentra “en cada capa del ecosistema móvil, entre proveedores de servicios, plataformas, compañías proveedoras de apps, contenido y servicios”. Esta competencia es particularmente intensa entre los fabricantes de teléfonos y los sistemas operativos, y ha supuesto una explosión en el desarrollo de dispositivos y en las ventas, al ofrecer un amplio abanico para elegir, tanto por parte del usuario como de los negocios.  En 2010 las plataformas de BlackBerry y Symbian representaron la mitad de las ventas de smartphones, mientras que hoy no llegan al 5%. iOS, Android y Microsoft Windows están enzarzados en una competencia feroz donde nuevos jugadores como Amazon Fire, Xiamo MIUI, Firefox OS y Tizen ya están entrando.  Como demuestra el estudio, el Internet móvil está impulsando el crecimiento de la economía y la creación de empleos en Europa y en el mundo. Los servicios y las aplicaciones móviles nos ayudan a mantenernos informados, a acceder a una gran oferta de ocio y a orientarnos allá donde vayamos. Sin duda alguna, las innovaciones que vienen seguirán planteando nuevas oportunidades de crecimiento en movilidad y contribuyendo al desarrollo de la economía y de la sociedad.    Publicado por Esperanza Ibáñez, Manager de Políticas Públicas y Relaciones con el Gobierno</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https://www.notasdeprensa.es/la-economia-del-internet-movil-en-europa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