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dirección general de carreteras optimiza su infraestructura con BIM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Transportes licita por casi 5 millones de euros un contrato de servicios de asistencia técnica para prestar apoyo a la Dirección General de Carreteras (DGC) con la implementación de la metodología BIM en sus proyectos y obras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Transportes y Movilidad Sostenible (MITMA) licita, por 4,96 millones de euros, IVA incluido, un contrato de servicios para apoyar a la Dirección General de Carreteras (DGC) a la hora de definir la estrategia para implementar la metodología BIM (Building Information Modeling) en los proyectos y obras de sus carreteras.</w:t>
            </w:r>
          </w:p>
          <w:p>
            <w:pPr>
              <w:ind w:left="-284" w:right="-427"/>
              <w:jc w:val="both"/>
              <w:rPr>
                <w:rFonts/>
                <w:color w:val="262626" w:themeColor="text1" w:themeTint="D9"/>
              </w:rPr>
            </w:pPr>
            <w:r>
              <w:t>Esta propuesta, que acoge ofertas hasta el próximo 15 de noviembre, se enmarca en el Plan BIM elaborado por la Comisión Interministerial BIM, aprobado en Consejo de Ministros en junio de 2023 y puesto en marcha en abril de este mismo año, con el que se persigue una mayor eficiencia en el gasto público y la digitalización y sostenibilidad en el sector de la construcción al implementar esta metodología.</w:t>
            </w:r>
          </w:p>
          <w:p>
            <w:pPr>
              <w:ind w:left="-284" w:right="-427"/>
              <w:jc w:val="both"/>
              <w:rPr>
                <w:rFonts/>
                <w:color w:val="262626" w:themeColor="text1" w:themeTint="D9"/>
              </w:rPr>
            </w:pPr>
            <w:r>
              <w:t>Una puesta en marcha necesaria para alinear los objetivos de la Dirección General de Carreteras con los de las nuevas líneas de trabajo marcadas por la Estrategia de Movilidad Segura, Sostenible y Conectada 2030 y que, junto con el Plan de Recuperación, Transformación y Resiliencia del Ministerio de Transportes, el cual destinará hasta 35 millones de euros (IVA no incluido) de los fondos NextGenerationEU para actuaciones de digitalización, conforman las principales actuaciones en materia de movilidad en España en el presente y futuro.</w:t>
            </w:r>
          </w:p>
          <w:p>
            <w:pPr>
              <w:ind w:left="-284" w:right="-427"/>
              <w:jc w:val="both"/>
              <w:rPr>
                <w:rFonts/>
                <w:color w:val="262626" w:themeColor="text1" w:themeTint="D9"/>
              </w:rPr>
            </w:pPr>
            <w:r>
              <w:t>Esta innovadora tecnología forma parte del Plan de Digitalización de la Red de Carreteras del Estado, y ya en 2023 el MITMA adjudicó por 1,01 millones de euros, IVA incluido, un contrato de servicios de consultoría y asistencia técnica para desarrollar un proyecto piloto, la ampliación de la autovía A-67 en Cantabria, con el que establecer los criterios para implantar BIM en las actuaciones de la DGC, más concretamente en las fases de proyecto y obra.</w:t>
            </w:r>
          </w:p>
          <w:p>
            <w:pPr>
              <w:ind w:left="-284" w:right="-427"/>
              <w:jc w:val="both"/>
              <w:rPr>
                <w:rFonts/>
                <w:color w:val="262626" w:themeColor="text1" w:themeTint="D9"/>
              </w:rPr>
            </w:pPr>
            <w:r>
              <w:t>Después de este primer acercamiento, el contrato de servicios de asistencia técnica que actualmente se está licitando servirá de apoyo para la incorporación definitiva de BIM en los proyectos de la Dirección General de Carreteras. En concreto, el servicio de asistencia técnica incluirá tareas como la definición de la estrategia para la implementación de BIM, el desarrollo de los requisitos BIM que se deben incluir en los pliegos de contratación, el desarrollo de guías y manuales BIM vinculados a los procedimientos y flujos de trabajo, la formación especializada al personal de la DGC, la asistencia y soporte continuo para la utilización de esta metodología en proyectos y obras, la revisión de entregables BIM, así como la redacción de informes en materia BIM.</w:t>
            </w:r>
          </w:p>
          <w:p>
            <w:pPr>
              <w:ind w:left="-284" w:right="-427"/>
              <w:jc w:val="both"/>
              <w:rPr>
                <w:rFonts/>
                <w:color w:val="262626" w:themeColor="text1" w:themeTint="D9"/>
              </w:rPr>
            </w:pPr>
            <w:r>
              <w:t>Con la previsible evolución del uso de tecnología BIM en proyectos tanto de infraestructuras como de edificación, y dadas las enormes ventajas que conlleva, entre las que destacan una mayor eficiencia y calidad a menor coste, no es de extrañar que cada vez sean más los profesionales que deciden ampliar su formación y buscan para ello el mejor máster BIM online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López</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643 13 86 05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https://www.notasdeprensa.es/la-direccion-general-de-carreteras-optimiza-su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Movilidad y Transporte Innovación Tecnológica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