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Diputación de Granada confía en Nutanix para transformar su infraestructura TI y hacerla más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tecnología de Nutanix, la Diputación ofrecerá a todos los municipios de la provincia de Granada la asistencia técnica que necesitan para ofrecer servicios digitales de calidad a los ciudadanos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Diputación de Granada, que presta apoyo técnico, económico y tecnológico a los ayuntamientos de los municipios de su provincia, ha apostado por la tecnología de Nutanix para simplificar la infraestructura tecnológica, mejorar su rendimiento y optimizar el consumo energético.</w:t>
            </w:r>
          </w:p>
          <w:p>
            <w:pPr>
              <w:ind w:left="-284" w:right="-427"/>
              <w:jc w:val="both"/>
              <w:rPr>
                <w:rFonts/>
                <w:color w:val="262626" w:themeColor="text1" w:themeTint="D9"/>
              </w:rPr>
            </w:pPr>
            <w:r>
              <w:t>La Diputación disponía de una red de cobertura que interconectaba a todos los municipios con sus instalaciones centrales. Pero, en 2016, cuando se aprueba la ley que obliga a las administraciones públicas a prestar servicios electrónicos a los ciudadanos, se da cuenta de que sus capacidades no iban a ser suficientes para dar respuesta a todos los nuevos requerimientos de los municipios.</w:t>
            </w:r>
          </w:p>
          <w:p>
            <w:pPr>
              <w:ind w:left="-284" w:right="-427"/>
              <w:jc w:val="both"/>
              <w:rPr>
                <w:rFonts/>
                <w:color w:val="262626" w:themeColor="text1" w:themeTint="D9"/>
              </w:rPr>
            </w:pPr>
            <w:r>
              <w:t>Debido a la especial estructura de la provincia, donde 166 municipios (el 95% del total) tienen una población menor de 20.000 habitantes, la labor de la Diputación es clave para ofrecerles los recursos que necesitan e implantar una administración electrónica de calidad sin preocuparse por la complejidad técnica que habitualmente conllevan estos proyectos.</w:t>
            </w:r>
          </w:p>
          <w:p>
            <w:pPr>
              <w:ind w:left="-284" w:right="-427"/>
              <w:jc w:val="both"/>
              <w:rPr>
                <w:rFonts/>
                <w:color w:val="262626" w:themeColor="text1" w:themeTint="D9"/>
              </w:rPr>
            </w:pPr>
            <w:r>
              <w:t>Ante esta situación, la Diputación de Granada puso en marcha el proyecto de renovación de su infraestructura tecnológica y, tras abrir un concurso público de licitación, decidió apostar por la tecnología de Nutanix para construir una nueva infraestructura orientada a servicios que les ofreciera una mayor disponibilidad y capacidad de recuperación (incluso de menos de una hora).</w:t>
            </w:r>
          </w:p>
          <w:p>
            <w:pPr>
              <w:ind w:left="-284" w:right="-427"/>
              <w:jc w:val="both"/>
              <w:rPr>
                <w:rFonts/>
                <w:color w:val="262626" w:themeColor="text1" w:themeTint="D9"/>
              </w:rPr>
            </w:pPr>
            <w:r>
              <w:t>Entre los principales beneficios conseguidos por la Diputación destacan los de simplificación de la infraestructura, rendimiento, optimización del consumo energético, multiplicación de la capacidad de computación y reducción de los tiempos de parada, haciendo que sean prácticamente cero. Además, otro factor diferencial fue la velocidad con la que se hizo la migración, llevándola a cabo prácticamente en una tarde.</w:t>
            </w:r>
          </w:p>
          <w:p>
            <w:pPr>
              <w:ind w:left="-284" w:right="-427"/>
              <w:jc w:val="both"/>
              <w:rPr>
                <w:rFonts/>
                <w:color w:val="262626" w:themeColor="text1" w:themeTint="D9"/>
              </w:rPr>
            </w:pPr>
            <w:r>
              <w:t>"Estamos muy contentos con los resultados de nuestro proyecto de renovación tecnológica con Nutanix, así como con la flexibilidad de su solución. Y es que, por un lado, estaban los componentes básicos del proyecto y, por otro, importantes desarrollos de futuro, como la integración de servicios en la nube híbrida/multinube o una iniciativa relacionada con los destinos turísticos inteligentes. La solución implantada nos permitirá precisamente desplegar todo tipo de proyectos y con diferentes exigencias", afirma Miguel Pereira Martínez, jefe del servicio de nuevas tecnologías de la Diputación de Granada.</w:t>
            </w:r>
          </w:p>
          <w:p>
            <w:pPr>
              <w:ind w:left="-284" w:right="-427"/>
              <w:jc w:val="both"/>
              <w:rPr>
                <w:rFonts/>
                <w:color w:val="262626" w:themeColor="text1" w:themeTint="D9"/>
              </w:rPr>
            </w:pPr>
            <w:r>
              <w:t>"Para Nutanix es muy importante ver cómo una institución pública del alcance de la Diputación de Granada apuesta por nuestras soluciones para mejorar la calidad del servicio que ofrece a todos los municipios de la provincia y, en definitiva, a los ciudadanos. Hoy, la tecnología permite disfrutar de una agilidad, simplicidad, libertad de elección, flexibilidad, escalabilidad y reducción de costes sin precedentes y es clave para seguir siendo competitivos en el mercado", señala Jorge Vázquez, director general de Nutanix Iberia.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Astorga</w:t>
      </w:r>
    </w:p>
    <w:p w:rsidR="00C31F72" w:rsidRDefault="00C31F72" w:rsidP="00AB63FE">
      <w:pPr>
        <w:pStyle w:val="Sinespaciado"/>
        <w:spacing w:line="276" w:lineRule="auto"/>
        <w:ind w:left="-284"/>
        <w:rPr>
          <w:rFonts w:ascii="Arial" w:hAnsi="Arial" w:cs="Arial"/>
        </w:rPr>
      </w:pPr>
      <w:r>
        <w:rPr>
          <w:rFonts w:ascii="Arial" w:hAnsi="Arial" w:cs="Arial"/>
        </w:rPr>
        <w:t>Archetype</w:t>
      </w:r>
    </w:p>
    <w:p w:rsidR="00AB63FE" w:rsidRDefault="00C31F72" w:rsidP="00AB63FE">
      <w:pPr>
        <w:pStyle w:val="Sinespaciado"/>
        <w:spacing w:line="276" w:lineRule="auto"/>
        <w:ind w:left="-284"/>
        <w:rPr>
          <w:rFonts w:ascii="Arial" w:hAnsi="Arial" w:cs="Arial"/>
        </w:rPr>
      </w:pPr>
      <w:r>
        <w:rPr>
          <w:rFonts w:ascii="Arial" w:hAnsi="Arial" w:cs="Arial"/>
        </w:rPr>
        <w:t>915619415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https://www.notasdeprensa.es/la-diputacion-de-granada-confia-en-nutanix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Sostenibilidad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