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construcción copa el 54,9% de las ampliaciones de capital registradas en noviembre, con 2.448,40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volumen de dinero captado por sociedades mercantiles a través de ampliaciones de capital alcanzó en noviembre un saldo de 4.457,51 millones de euros en términos nominales, excluidas las primas de emisión, según los datos recopilados por el Gabinete de Estudios Económicos de Axesor, primera agencia de rating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volumen de dinero captado por sociedades mercantiles a través de ampliaciones de capital alcanzó en noviembre un saldo de 4.457,51 millones de euros en términos nominales, excluidas las primas de emisión, según los datos recopilados por el Gabinete de Estudios Económicos de Axesor, primera agencia de rating española. La cifra es la más elevada desde el pasado mes de enero, cuando se superaron los 5.290 millones de euros, y supone un incremento del 166% respecto al mismo mes del año pasado.</w:t>
            </w:r>
          </w:p>
          <w:p>
            <w:pPr>
              <w:ind w:left="-284" w:right="-427"/>
              <w:jc w:val="both"/>
              <w:rPr>
                <w:rFonts/>
                <w:color w:val="262626" w:themeColor="text1" w:themeTint="D9"/>
              </w:rPr>
            </w:pPr>
            <w:r>
              <w:t>	El elevado importe de dinero alcanzado se concentra en una operación acordeón del sector constructor en la que se registró simultáneamente una reducción de 2.641 millones de euros, proseguida de una ampliación por un importe algo inferior, de 2.135 millones; una operación habitual cuando una empresa que quiere continuar con su actividad está en situación de fuertes pérdidas que obligan a una saneamiento urgente del balance. Así, el sector constructor se anotó 2.448,4 millones de euros, su récord mensual durante la crisis y más de 17 veces por encima de los importes del mismo mes del año pasado.</w:t>
            </w:r>
          </w:p>
          <w:p>
            <w:pPr>
              <w:ind w:left="-284" w:right="-427"/>
              <w:jc w:val="both"/>
              <w:rPr>
                <w:rFonts/>
                <w:color w:val="262626" w:themeColor="text1" w:themeTint="D9"/>
              </w:rPr>
            </w:pPr>
            <w:r>
              <w:t>	Esta situación también tuvo su reflejo en términos geográficos en Madrid, que consignó 3.542,19 millones de euros, el mayor importe desde marzo de 2014 y un 552,1% más que durante el mismo mes del año 2014. En lo que va de año, el dinero logrado a través de ampliaciones de capital asciende a 33.901,16 millones de euros, un retroceso del 14,46%.</w:t>
            </w:r>
          </w:p>
          <w:p>
            <w:pPr>
              <w:ind w:left="-284" w:right="-427"/>
              <w:jc w:val="both"/>
              <w:rPr>
                <w:rFonts/>
                <w:color w:val="262626" w:themeColor="text1" w:themeTint="D9"/>
              </w:rPr>
            </w:pPr>
            <w:r>
              <w:t>	Más de 14.450  millones para las pequeñas empresas	El peso de las pequeñas empresas, aquellas con menos de 50 empleados, se ha reducido ligeramente, aunque sigue siendo el más importante de todos los segmentos. Las pequeñas empresas han realizado en lo que va de año 27.316 operaciones, un 92,15% del total, por un importe de 14.451,79 millones de euros (un 24,1% más que el año pasado por estas fechas) un 42,6% del total.</w:t>
            </w:r>
          </w:p>
          <w:p>
            <w:pPr>
              <w:ind w:left="-284" w:right="-427"/>
              <w:jc w:val="both"/>
              <w:rPr>
                <w:rFonts/>
                <w:color w:val="262626" w:themeColor="text1" w:themeTint="D9"/>
              </w:rPr>
            </w:pPr>
            <w:r>
              <w:t>	Las grandes empresas, aquellas que superan los 250 empleados, que son las que tradicionalmente han dominado en términos de importes la operativa de las ampliaciones de capital, han movilizado en lo que va de año 11.361,5 millones de euros en 217 operaciones. Se trata de una caída en términos de importes del 41,3% sobre el mismo periodo del año pasado y un 33,5% del total; una situación que contrasta con la del año pasado, cuando suponían la partida mayoritaria en términos de volumen, con un 48,85% del total y más de 19.350 millones de euros canalizados entre enero y noviembre de 2014.</w:t>
            </w:r>
          </w:p>
          <w:p>
            <w:pPr>
              <w:ind w:left="-284" w:right="-427"/>
              <w:jc w:val="both"/>
              <w:rPr>
                <w:rFonts/>
                <w:color w:val="262626" w:themeColor="text1" w:themeTint="D9"/>
              </w:rPr>
            </w:pPr>
            <w:r>
              <w:t>	Sectores: fuerte actividad en la banca y el ladrillo	La actividad de las ampliaciones de capital por parte de sociedades mercantiles viene determinada en España principalmente por lo que hacen el sector financiero, el de la construcción y el inmobiliario, ya que juntos representan el 68,5% de todos los importes conseguidos por las sociedades mercantiles en lo que va de año. Los tres experimentaron importantes crecimientos en noviembre. La construcción se apuntó 2.448,40 millones de euros (+1.787% en la comparativa interanual), lo que eleva a 6.872,64 millones de euros el volumen total en lo que va de año, un aumento del 19,2% sobre el plazo enero-noviembre de 2014, si bien, como ya se ha indicado antes, la mayor parte del volumen de noviembre está relacionado con una operación doble de reducción y ampliación de capital. El sector financiero continúa acelerando los importes, que creció un 55,6% en noviembre (son cinco meses consecutivos de mejora en las comparativas interanuales) y sumó 841,969 millones de euros.</w:t>
            </w:r>
          </w:p>
          <w:p>
            <w:pPr>
              <w:ind w:left="-284" w:right="-427"/>
              <w:jc w:val="both"/>
              <w:rPr>
                <w:rFonts/>
                <w:color w:val="262626" w:themeColor="text1" w:themeTint="D9"/>
              </w:rPr>
            </w:pPr>
            <w:r>
              <w:t>	En lo que va de año, la banca lleva 9.459,33 millones de euros, es un 35,8% menos que hace un año; es un ajuste importante, pero al cierre del primer semestre la caída acumulada por el sector de actividades financieras y seguros era del 52,6%. El segmento de actividades inmobiliarias volvió a crecer en noviembre tras el fuerte descenso experimentado en octubre y mejoró un 53,7% con 444,49 millones de euros; desde enero, la actividad inmobiliaria lleva 6.878,02 millones de euros en ampliaciones, situándose como el segundo sector en términos de importes y con una mejoría del 29,9% respecto a 2014. La situación ha cambiado bastante respecto al comienzo de año, ya que al cierre del primer semestre, los importes eran un 29,3% inferiores a los del mismo periodo de 2014, ahora la magnitud del descenso se ha reducido a la mitad: los importes son 14,5% inferiores a los de los 11 primeros meses de 2014. Con todo, hay grandes probabilidades de que 2015 sea el año de la crisis en que menos dinero se haya canalizado a través de ampliaciones de capital, para evitarlo, el mes de diciembre tendría que arrojar un saldo superior a los 4.710 millones de euros, unas cifras que solo han sido superadas en el mes de enero.</w:t>
            </w:r>
          </w:p>
          <w:p>
            <w:pPr>
              <w:ind w:left="-284" w:right="-427"/>
              <w:jc w:val="both"/>
              <w:rPr>
                <w:rFonts/>
                <w:color w:val="262626" w:themeColor="text1" w:themeTint="D9"/>
              </w:rPr>
            </w:pPr>
            <w:r>
              <w:t>	El volumen generado por el sector de la construcción en Noviembre situó a Madrid claramente en cabeza, con 3.542,19 millones de euros (más de cinco veces el volumen gestionado en noviembre de 2014), un 79,46% de todo el dinero obtenido a través de ampliaciones en España. En lo que va de año Madrid alcanza 16.303,69 millones de euros (+11,8% respecto al año pasado), un 48% del total. Al cierre del primer semestre, Madrid acumulaba un retroceso del 13% en la comparativa interanual, lo que da una idea de cómo ha cambiado la situación en esta comunidad. Cataluña es, a mucha distancia, la segunda región en términos de importes, registró 243,88 millones de euros en noviembre (-3,5%) y suma en lo que va de año 6.039,4 millones de euros, que es un 12,8% menos que en el mismo periodo del año pasado. Solo hay otra comunidad donde se superaran los 100 millones de euros en noviembre, fue Andalucía, con 108,44 millones de euros, un 27,4% menos que en 2014. En lo que va de año, Andalucía suma 2.135,09 millones de euros, una caída del 26,8% en la comparativa interanual.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https://www.notasdeprensa.es/la-construccion-copa-el-549-de-las_1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