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Estrasburgo el 06/07/2016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Comisión Europea apuesta por una mayor transparencia para luchar contra el terrorismo, la elusión discal y el blanqueo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Comisión ha adoptado hoy una propuesta para reforzar las normas de la UE contra el blanqueo de capitales con el objetivo de combatir la financiación del terrorismo y aumentar la transparencia sobre la titularidad real de las sociedades y los fondos fiduciarios.</w:t>
            </w:r>
          </w:p>
          <w:p>
            <w:pPr>
              <w:ind w:left="-284" w:right="-427"/>
              <w:jc w:val="both"/>
              <w:rPr>
                <w:rFonts/>
                <w:color w:val="262626" w:themeColor="text1" w:themeTint="D9"/>
              </w:rPr>
            </w:pPr>
            <w:r>
              <w:t>La Comisión Juncker ha hecho de la lucha contra la elusión fiscal, el blanqueo de capitales y la financiación del terrorismo una de sus prioridades. Los cambios que hoy se proponen abordarán los nuevos medios de financiación del terrorismo, incrementarán la transparencia para combatir el blanqueo de capitales y ayudarán a reforzar la lucha contra la elusión fiscal.</w:t>
            </w:r>
          </w:p>
          <w:p>
            <w:pPr>
              <w:ind w:left="-284" w:right="-427"/>
              <w:jc w:val="both"/>
              <w:rPr>
                <w:rFonts/>
                <w:color w:val="262626" w:themeColor="text1" w:themeTint="D9"/>
              </w:rPr>
            </w:pPr>
            <w:r>
              <w:t>Esta propuesta de la Comisión es la primera iniciativa para llevar a la práctica el Plan de Acción para intensificar la lucha contra la financiación del terrorismo, de febrero de 2016, y forma parte de una iniciativa más amplia para incrementar la transparencia fiscal y combatir el fraude fiscal. Esta es la razón por la que también presentamos de forma paralela una Comunicación en respuesta a las recientes revelaciones de los papeles de Panamá.</w:t>
            </w:r>
          </w:p>
          <w:p>
            <w:pPr>
              <w:ind w:left="-284" w:right="-427"/>
              <w:jc w:val="both"/>
              <w:rPr>
                <w:rFonts/>
                <w:color w:val="262626" w:themeColor="text1" w:themeTint="D9"/>
              </w:rPr>
            </w:pPr>
            <w:r>
              <w:t>Frans Timmermans, vicepresidente primero, ha declarado que «las propuestas de hoy ayudarán a las autoridades nacionales a localizar a las personas que ocultan sus finanzas a fin de cometer delitos como el terrorismo. Los Estados miembros podrán conseguir y compartir información vital sobre quién es el titular real de las sociedades y los fondos fiduciarios, quién negocia divisas en línea y quién emplea tarjetas de prepago. La publicación de la información sobre quién está detrás de las sociedades y los fondos fiduciarios debe tener también un importante efecto disuasorio para los posibles evasores fiscales.»</w:t>
            </w:r>
          </w:p>
          <w:p>
            <w:pPr>
              <w:ind w:left="-284" w:right="-427"/>
              <w:jc w:val="both"/>
              <w:rPr>
                <w:rFonts/>
                <w:color w:val="262626" w:themeColor="text1" w:themeTint="D9"/>
              </w:rPr>
            </w:pPr>
            <w:r>
              <w:t>Véra Jourová, comisaria de Justicia, Consumidores e Igualdad de Género de la UE, ha declarado: «Hoy presentamos normas de transparencia más estrictas para cortar la financiación del terrorismo e intensificar nuestra lucha contra el blanqueo de capitales y la elusión fiscal. La actualización de la cuarta Directiva contra el blanqueo de capitales colmará las lagunas existentes en Europa que permiten a los terroristas, a los delincuentes o a los que intentan eludir la normativa fiscal financiar sus actividades. La mejora de la cooperación para combatir estas cuestiones cambiará la situación.»  </w:t>
            </w:r>
          </w:p>
          <w:p>
            <w:pPr>
              <w:ind w:left="-284" w:right="-427"/>
              <w:jc w:val="both"/>
              <w:rPr>
                <w:rFonts/>
                <w:color w:val="262626" w:themeColor="text1" w:themeTint="D9"/>
              </w:rPr>
            </w:pPr>
            <w:r>
              <w:t>La adopción del cuarto paquete de lucha contra el blanqueo de capitales en mayo de 2015 representó un paso importante para mejorar la eficacia de los esfuerzos de la UE en la lucha contra el blanqueo de capitales procedentes de actividades delictivas y contra la financiación de las actividades terroristas. Dicho paquete fija normas estrictas para impedir el blanqueo de capitales, como la obligación de que los Estados miembros establezcan registros nacionales de titularidad real de las sociedades y algunos fondos fiduciarios. Los Estados miembros se han comprometido a aplicar el paquete más rápidamente de lo previsto inicialmente, a más tardar a finales de 2016.  </w:t>
            </w:r>
          </w:p>
          <w:p>
            <w:pPr>
              <w:ind w:left="-284" w:right="-427"/>
              <w:jc w:val="both"/>
              <w:rPr>
                <w:rFonts/>
                <w:color w:val="262626" w:themeColor="text1" w:themeTint="D9"/>
              </w:rPr>
            </w:pPr>
            <w:r>
              <w:t>Lucha contra la financiación del terrorismoSegún lo anunciado en el Plan de Acción para intensificar la lucha contra la financiación del terrorismo, la Comisión propone una serie de cambios para impedir la utilización del sistema financiero para financiar actividades terroristas:</w:t>
            </w:r>
          </w:p>
          <w:p>
            <w:pPr>
              <w:ind w:left="-284" w:right="-427"/>
              <w:jc w:val="both"/>
              <w:rPr>
                <w:rFonts/>
                <w:color w:val="262626" w:themeColor="text1" w:themeTint="D9"/>
              </w:rPr>
            </w:pPr>
            <w:r>
              <w:t>Reforzar las competencias de las unidades de información financiera de la UE y facilitar su cooperación: Se ampliará la información accesible a las unidades de información financiera, que tendrán acceso a la información de los registros centralizados de cuentas bancarias y cuentas de pago y de los sistemas centrales de búsqueda de datos, que los Estados miembros deberán poner en marcha para identificar a los titulares de cuentas bancarias y de cuentas de pago.	 </w:t>
            </w:r>
          </w:p>
          <w:p>
            <w:pPr>
              <w:ind w:left="-284" w:right="-427"/>
              <w:jc w:val="both"/>
              <w:rPr>
                <w:rFonts/>
                <w:color w:val="262626" w:themeColor="text1" w:themeTint="D9"/>
              </w:rPr>
            </w:pPr>
            <w:r>
              <w:t>Afrontar los riesgos de financiación del terrorismo relacionados con las monedas virtuales: A fin de evitar la utilización indebida de las monedas virtuales para blanquear dinero y financiar el terrorismo, la Comisión propone incluir las plataformas de cambio de monedas virtuales y los proveedores de servicios de custodia de monederos electrónicos en el ámbito de aplicación de la Directiva contra el blanqueo de capitales. Estas entidades tendrán que aplicar controles de diligencia debida con respecto al cliente a la hora de intercambiar monedas virtuales por reales, poniendo fin al anonimato asociado a dichos intercambios.	 </w:t>
            </w:r>
          </w:p>
          <w:p>
            <w:pPr>
              <w:ind w:left="-284" w:right="-427"/>
              <w:jc w:val="both"/>
              <w:rPr>
                <w:rFonts/>
                <w:color w:val="262626" w:themeColor="text1" w:themeTint="D9"/>
              </w:rPr>
            </w:pPr>
            <w:r>
              <w:t>Afrontar los riesgos vinculados a los instrumentos de prepago anónimos (por ejemplo, tarjetas de prepago): La Comisión también propone minimizar el uso de pagos anónimos con tarjetas de prepago, mediante la rebaja de los umbrales para la identificación de 250 € a 150 € y la ampliación de los requisitos de verificación de la identidad de los clientes. Se ha tenido en cuenta la proporcionalidad, especialmente en lo que se refiere a la utilización de esas tarjetas por los ciudadanos económicamente vulnerables.	 </w:t>
            </w:r>
          </w:p>
          <w:p>
            <w:pPr>
              <w:ind w:left="-284" w:right="-427"/>
              <w:jc w:val="both"/>
              <w:rPr>
                <w:rFonts/>
                <w:color w:val="262626" w:themeColor="text1" w:themeTint="D9"/>
              </w:rPr>
            </w:pPr>
            <w:r>
              <w:t>Reforzar los controles en terceros países de alto riesgo: Tal y como establece la cuarta Directiva contra el blanqueo de capitales, la Comisión propone armonizar la lista de controles aplicables a los países con deficiencias en sus sistemas de lucha contra el blanqueo de capitales y la financiación del terrorismo. Los bancos tendrán que realizar controles adicionales («medidas de diligencia debida») en relación con los flujos financieros procedentes de estos países. Por razones de procedimiento, la lista de países, que reproduce la elaborada por el GAFI, será aprobada formalmente el 14 de julio. </w:t>
            </w:r>
          </w:p>
          <w:p>
            <w:pPr>
              <w:ind w:left="-284" w:right="-427"/>
              <w:jc w:val="both"/>
              <w:rPr>
                <w:rFonts/>
                <w:color w:val="262626" w:themeColor="text1" w:themeTint="D9"/>
              </w:rPr>
            </w:pPr>
            <w:r>
              <w:t>Normas de transparencia más estrictas para evitar la elusión fiscal y el blanqueo de dineroLa propuesta de hoy reforzará las medidas introducidas por la cuarta Directiva contra el blanqueo de capitales, con las siguientes modificaciones:</w:t>
            </w:r>
          </w:p>
          <w:p>
            <w:pPr>
              <w:ind w:left="-284" w:right="-427"/>
              <w:jc w:val="both"/>
              <w:rPr>
                <w:rFonts/>
                <w:color w:val="262626" w:themeColor="text1" w:themeTint="D9"/>
              </w:rPr>
            </w:pPr>
            <w:r>
              <w:t>Acceso público pleno a los registros de titularidad real: Los Estados miembros harán pública determinada información de los registros de titularidad real de las sociedades y fondos fiduciarios vinculados a empresas. La información sobre todos los demás fondos fiduciarios se incluirá en los registros nacionales y estará a disposición de quienes acrediten un interés legítimo. Se incluirán en los registros los titulares reales que tengan el 10 % de la titularidad en determinadas sociedades que presenten un riesgo de utilización para fines de blanqueo de capitales y evasión fiscal. El umbral permanecerá en el 25 % para todas las demás sociedades.	 </w:t>
            </w:r>
          </w:p>
          <w:p>
            <w:pPr>
              <w:ind w:left="-284" w:right="-427"/>
              <w:jc w:val="both"/>
              <w:rPr>
                <w:rFonts/>
                <w:color w:val="262626" w:themeColor="text1" w:themeTint="D9"/>
              </w:rPr>
            </w:pPr>
            <w:r>
              <w:t>Interconexión de los registros: La propuesta prevé la interconexión directa de los registros para facilitar la cooperación entre los Estados miembros.</w:t>
            </w:r>
          </w:p>
          <w:p>
            <w:pPr>
              <w:ind w:left="-284" w:right="-427"/>
              <w:jc w:val="both"/>
              <w:rPr>
                <w:rFonts/>
                <w:color w:val="262626" w:themeColor="text1" w:themeTint="D9"/>
              </w:rPr>
            </w:pPr>
            <w:r>
              <w:t>Ampliación de la información accesible a las autoridades: La Comisión ha propuesto que tanto las cuentas existentes como las de nueva creación deben ser objeto de controles de diligencia debida. Esto impedirá que las cuentas que puedan ser utilizadas para actividades ilícitas escapen a la detección. Las sociedades y los fondos fiduciarios pasivos, como los mencionados en los papeles de Panamá, también estarán sujetos a un mayor control y a unas normas más estrictas.</w:t>
            </w:r>
          </w:p>
          <w:p>
            <w:pPr>
              <w:ind w:left="-284" w:right="-427"/>
              <w:jc w:val="both"/>
              <w:rPr>
                <w:rFonts/>
                <w:color w:val="262626" w:themeColor="text1" w:themeTint="D9"/>
              </w:rPr>
            </w:pPr>
            <w:r>
              <w:t>Antecedentes:La cuarta Directiva sobre el blanqueo de capitales se adoptó el 20 de mayo de 2015. La Comisión Europea, en el marco de su Plan de Acción contra la financiación del terrorismo, instó a los Estados miembros a adelantar la fecha de transposición efectiva de la Directiva a finales de 2016.</w:t>
            </w:r>
          </w:p>
          <w:p>
            <w:pPr>
              <w:ind w:left="-284" w:right="-427"/>
              <w:jc w:val="both"/>
              <w:rPr>
                <w:rFonts/>
                <w:color w:val="262626" w:themeColor="text1" w:themeTint="D9"/>
              </w:rPr>
            </w:pPr>
            <w:r>
              <w:t>Las modificaciones presentadas hoy para hacer frente a la financiación del terrorismo y a las cuestiones de transparencia son proporcionadas y están dirigidas a introducir algunos cambios en el marco existente. La Comisión anima a los Estados miembros a tener en cuenta las modificaciones concretas propuestas hoy en la transposición de la cuarta Directiva contra el blanqueo de capitales.</w:t>
            </w:r>
          </w:p>
          <w:p>
            <w:pPr>
              <w:ind w:left="-284" w:right="-427"/>
              <w:jc w:val="both"/>
              <w:rPr>
                <w:rFonts/>
                <w:color w:val="262626" w:themeColor="text1" w:themeTint="D9"/>
              </w:rPr>
            </w:pPr>
            <w:r>
              <w:t>El Parlamento Europeo y el Consejo de Ministros aprobarán la actualización propuesta de las normas jurídicas con arreglo al procedimiento legislativo ordinario.</w:t>
            </w:r>
          </w:p>
          <w:p>
            <w:pPr>
              <w:ind w:left="-284" w:right="-427"/>
              <w:jc w:val="both"/>
              <w:rPr>
                <w:rFonts/>
                <w:color w:val="262626" w:themeColor="text1" w:themeTint="D9"/>
              </w:rPr>
            </w:pPr>
            <w:r>
              <w:t>En lo que respecta a la lista de terceros países de alto riesgo con deficiencias estratégicas en sus sistemas de lucha contra el blanqueo de capitales y la financiación del terrorismo, la cuarta Directiva contra el blanqueo de capitales ha encargado a la Comisión su elaboración tres veces al año. La Comisión tendrá en cuenta los trabajos realizados a nivel internacional por el Grupo de Acción Financiera Internacional. La UE seguirá colaborando en todos los ámbitos políticos pertinentes con los territorios en cuestión, en particular a través de la cooperación al desarrollo, con el objetivo último de que cumplan la normativa y poder retirarlos de la lista. La lista es un acto delegado que también se presentará al Consejo y al Parlamento Europeo con arreglo al procedimiento habitual.</w:t>
            </w:r>
          </w:p>
          <w:p>
            <w:pPr>
              <w:ind w:left="-284" w:right="-427"/>
              <w:jc w:val="both"/>
              <w:rPr>
                <w:rFonts/>
                <w:color w:val="262626" w:themeColor="text1" w:themeTint="D9"/>
              </w:rPr>
            </w:pPr>
            <w:r>
              <w:t>Ambas iniciativas son parte de la aplicación del Plan de Acción para intensificar la lucha contra la financiación del terrorismo, aprobado por la Comisión el 2 de febrero de 2016. </w:t>
            </w:r>
          </w:p>
          <w:p>
            <w:pPr>
              <w:ind w:left="-284" w:right="-427"/>
              <w:jc w:val="both"/>
              <w:rPr>
                <w:rFonts/>
                <w:color w:val="262626" w:themeColor="text1" w:themeTint="D9"/>
              </w:rPr>
            </w:pPr>
            <w:r>
              <w:t>Más información:</w:t>
            </w:r>
          </w:p>
          <w:p>
            <w:pPr>
              <w:ind w:left="-284" w:right="-427"/>
              <w:jc w:val="both"/>
              <w:rPr>
                <w:rFonts/>
                <w:color w:val="262626" w:themeColor="text1" w:themeTint="D9"/>
              </w:rPr>
            </w:pPr>
            <w:r>
              <w:t>Modificación de la cuarta Directiva contra el blanqueo de capitales</w:t>
            </w:r>
          </w:p>
          <w:p>
            <w:pPr>
              <w:ind w:left="-284" w:right="-427"/>
              <w:jc w:val="both"/>
              <w:rPr>
                <w:rFonts/>
                <w:color w:val="262626" w:themeColor="text1" w:themeTint="D9"/>
              </w:rPr>
            </w:pPr>
            <w:r>
              <w:t>Preguntas y respuestas</w:t>
            </w:r>
          </w:p>
          <w:p>
            <w:pPr>
              <w:ind w:left="-284" w:right="-427"/>
              <w:jc w:val="both"/>
              <w:rPr>
                <w:rFonts/>
                <w:color w:val="262626" w:themeColor="text1" w:themeTint="D9"/>
              </w:rPr>
            </w:pPr>
            <w:r>
              <w:t>Ficha informativa</w:t>
            </w:r>
          </w:p>
          <w:p>
            <w:pPr>
              <w:ind w:left="-284" w:right="-427"/>
              <w:jc w:val="both"/>
              <w:rPr>
                <w:rFonts/>
                <w:color w:val="262626" w:themeColor="text1" w:themeTint="D9"/>
              </w:rPr>
            </w:pPr>
            <w:r>
              <w:t>IP/16/2380</w:t>
            </w:r>
          </w:p>
          <w:p>
            <w:pPr>
              <w:ind w:left="-284" w:right="-427"/>
              <w:jc w:val="both"/>
              <w:rPr>
                <w:rFonts/>
                <w:color w:val="262626" w:themeColor="text1" w:themeTint="D9"/>
              </w:rPr>
            </w:pPr>
            <w:r>
              <w:t>Personas de contacto para la prensa:</w:t>
            </w:r>
          </w:p>
          <w:p>
            <w:pPr>
              <w:ind w:left="-284" w:right="-427"/>
              <w:jc w:val="both"/>
              <w:rPr>
                <w:rFonts/>
                <w:color w:val="262626" w:themeColor="text1" w:themeTint="D9"/>
              </w:rPr>
            </w:pPr>
            <w:r>
              <w:t>Christian WIGAND (+32 2 296 22 53)</w:t>
            </w:r>
          </w:p>
          <w:p>
            <w:pPr>
              <w:ind w:left="-284" w:right="-427"/>
              <w:jc w:val="both"/>
              <w:rPr>
                <w:rFonts/>
                <w:color w:val="262626" w:themeColor="text1" w:themeTint="D9"/>
              </w:rPr>
            </w:pPr>
            <w:r>
              <w:t>Melanie VOIN (+ 32 2 295 86 59)</w:t>
            </w:r>
          </w:p>
          <w:p>
            <w:pPr>
              <w:ind w:left="-284" w:right="-427"/>
              <w:jc w:val="both"/>
              <w:rPr>
                <w:rFonts/>
                <w:color w:val="262626" w:themeColor="text1" w:themeTint="D9"/>
              </w:rPr>
            </w:pPr>
            <w:r>
              <w:t>Solicitudes del público en general: Europe Direct por teléfono 00 800 67 89 10 11 , o por e-mail</w:t>
            </w:r>
          </w:p>
          <w:p>
            <w:pPr>
              <w:ind w:left="-284" w:right="-427"/>
              <w:jc w:val="both"/>
              <w:rPr>
                <w:rFonts/>
                <w:color w:val="262626" w:themeColor="text1" w:themeTint="D9"/>
              </w:rPr>
            </w:pPr>
            <w:r>
              <w:t>El contenido de este comunicado fue publicado primero en la web de la Comisión Europea (esp)</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https://www.notasdeprensa.es/la-comision-europea-apuesta-por-una-mayor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