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cifra de paro registrado en Canarias se situó en 283.378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Respecto de octubre, el paro registrado disminuyó tanto en hombres (-0,23%) como en mujeres (-0,42%). Por sectores económicos, el paro registrado disminuyó en industria, construcción y servicios, y aumentó en agricultura y en el colectivo sin empleo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paro registrado del mes de noviembre de 2013 se sitúa en 283.378 personas, lo que supone un disminución de 931 personas respecto del mes anterior. Si comparamos con el mes de noviembre del año anterior la cifra de paro también baja, siendo la tasa de variación interanual del -1,96%.</w:t>
            </w:r>
          </w:p>
          <w:p>
            <w:pPr>
              <w:ind w:left="-284" w:right="-427"/>
              <w:jc w:val="both"/>
              <w:rPr>
                <w:rFonts/>
                <w:color w:val="262626" w:themeColor="text1" w:themeTint="D9"/>
              </w:rPr>
            </w:pPr>
            <w:r>
              <w:t>	Respecto de octubre, el paro registrado disminuyó tanto en hombres (-0,23%) como en mujeres (-0,42%). Por sectores económicos, el paro registrado disminuyó en industria, construcción y servicios, y aumentó en agricultura y en el colectivo sin empleo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Estadistica de Canarias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https://www.notasdeprensa.es/la-cifra-de-paro-registrado-en-canarias-se_1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