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Internacional de la Energía prevé un considerable incremento en la generación nuclear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Internacional de la Energía (AIE) prevé un crecimiento muy significativo de la generación nuclear mundial en los próximos años. Según ha hecho público en su informe anual World Energy Outlook 2013, se pasaría de los 2,584 Teravatios-hora (TWh) en 2011 a 4,300 TWh en 2035 aunque seguiría representando un 12% sobre el total de energía producida.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escenario contemplado en este informe por la Agencia Internacional de la Energía se contempla un incremento de la demanda global de energía de un tercio de aquí a 2035 y nuevamente la energía nuclear jugará un papel fundamental.</w:t>
            </w:r>
          </w:p>
          <w:p>
            <w:pPr>
              <w:ind w:left="-284" w:right="-427"/>
              <w:jc w:val="both"/>
              <w:rPr>
                <w:rFonts/>
                <w:color w:val="262626" w:themeColor="text1" w:themeTint="D9"/>
              </w:rPr>
            </w:pPr>
            <w:r>
              <w:t>	Este crecimiento vendrá respaldado por un incremento de la potencia nuclear instalada pasando de los 394 gigavatios (GW) en 2012 a 578 GW en el escenario previsto de 2035. Según los datos de 2012 hay 438 centrales en funcionamiento en 31 países y otros 63 nuevos reactores están en construcción en 15 países.</w:t>
            </w:r>
          </w:p>
          <w:p>
            <w:pPr>
              <w:ind w:left="-284" w:right="-427"/>
              <w:jc w:val="both"/>
              <w:rPr>
                <w:rFonts/>
                <w:color w:val="262626" w:themeColor="text1" w:themeTint="D9"/>
              </w:rPr>
            </w:pPr>
            <w:r>
              <w:t>	A este respecto, el informe de la AIE señala que si bien, el ritmo actual de construcción de centrales nucleares a nivel mundial se ha visto ralentizado como consecuencia de la revisión de las normativas de seguridad, en el futuro asistiremos a un crecimiento liderado por China, Corea del Sur, India y Rusia.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https://www.notasdeprensa.es/la-agencia-internacional-de-la-energia-preve_1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