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Abogacía y el Centro de Estudios Políticos y Constitucionales firman un protocolo para mejorar el ordenamiento jurídico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Carlos Carnicer, presidente del Consejo General de la Abogacía Española, y Benigno Pendás, director del CEPC, suscriben un acuerdo para intercambiar información de actividades y publicaciones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del Consejo General de la Abogacía Española, Carlos Carnicer, y el director del Centro de Estudios Políticos y Constitucionales (CEPC), Benigno Pendás, han firmado esta mañana un protocolo de colaboración entre ambas instituciones para promover la mejora del entorno normativo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Abogacía y el CEPC, organismo autónomo dependiente del Ministerio de la Presidencia, promoverán la realización de cuantas actividades se estimen de interés para mejorar el ordenamiento jurídico español, europeo e internacional. Ambas instituciones también se comprometen a suministrarse –de forma asidua y preferencial- información sobre las actividades que desarrollen.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lado, los dos organismos estudiarán la coedición de las publicaciones que tengan su origen en actividades conjuntas y el intercambio de sus respectivas publicaciones. El Consejo General de la Abogacía Española y el Centro de Estudios Políticos y Constitucionales han expresado la importancia del valor de la seguridad jurídica y su convencimiento de promover, en sus respectivos ámbitos de actuación, la mejora del entorno normativo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protocolo firmado por Carnicer y Pendás tendrá una vigencia de tres años y podrá ser prorrogado de forma expresa.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https://www.notasdeprensa.es/la-abogacia-y-el-centro-de-estudios-politicos_1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