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crece en los primeros nueve meses de 2015 con un incremento en entregas, facturación y beneficio operativo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entregas de ŠKODA se incrementan un 2,2% hasta los 791.500 vehículos | La facturación crece un 5,7% hasta los 9.300 millones de euros a final de septiembre | El beneficio operativo mejora un 12,7% hasta los 734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sigue avanzando por el camino del éxito y continúa creciendo de forma rentable. En los primeros nueve meses de este año, las entregas a clientes se incrementaron un 2,2% hasta los 791.500 vehículos en todo el mundo. Durante el mismo período, la facturación tuvo un incremento del 5,7% hasta los 9.300 millones de euros. Por su parte, el beneficio operativo creció de forma significativa hasta alcanzar los 734 millones de euros, lo que representa un incremento del 12,7% en comparacin con el mismo período del año pasado.</w:t>
            </w:r>
          </w:p>
          <w:p>
            <w:pPr>
              <w:ind w:left="-284" w:right="-427"/>
              <w:jc w:val="both"/>
              <w:rPr>
                <w:rFonts/>
                <w:color w:val="262626" w:themeColor="text1" w:themeTint="D9"/>
              </w:rPr>
            </w:pPr>
            <w:r>
              <w:t>	"En relación a las entregas, ŠKODA ha experimentado un buen progreso durante los últimos nueve meses, con un número de entregas ligeramente superior al nivel de récord del año pasado", explicó Werner Eichhorn, Responsable de Ventas y Marketing del Consejo de Dirección de ŠKODA. "Este sólido incremento en facturación e ingresos demuestra que nuestra atractiva gama de modelos sigue atrayendo a nuestros clientes en los mercados internacionales", añadió el Director Financiero, Winfried Krause.</w:t>
            </w:r>
          </w:p>
          <w:p>
            <w:pPr>
              <w:ind w:left="-284" w:right="-427"/>
              <w:jc w:val="both"/>
              <w:rPr>
                <w:rFonts/>
                <w:color w:val="262626" w:themeColor="text1" w:themeTint="D9"/>
              </w:rPr>
            </w:pPr>
            <w:r>
              <w:t>	En los primeros nueve meses de 2015, la facturación de ŠKODA alcanzó los 9.300 millones de euros, lo que representa un incremento del 5,7% en comparación con el mismo período del año pasado (enero a septiembre 2014: 8.800 millones de euros). El beneficio operativo creció un 12,7% hasta los 734 millones de euros (enero-septiembre 2014: 651 millones de euros). Los efectos del mix de ventas y las mejoras en los costes de los materiales contribuyeron a incrementar estos ingresos. Ademós, las tasas de cambio tuvieron un impacto positivo en el beneficio operativo.</w:t>
            </w:r>
          </w:p>
          <w:p>
            <w:pPr>
              <w:ind w:left="-284" w:right="-427"/>
              <w:jc w:val="both"/>
              <w:rPr>
                <w:rFonts/>
                <w:color w:val="262626" w:themeColor="text1" w:themeTint="D9"/>
              </w:rPr>
            </w:pPr>
            <w:r>
              <w:t>	Al finalizar el mes de septiembre de 2015, el margen operativo se situó en 7,9%, por encima de la cifra del 7,4% del año pasado. La liquidez neta creció un 32,3% hasta los 3.000 millones de euros, mientras que la inversión de capital alcanzó los 277 millones de euros (enero-septiembre 2014: 362 millones de euros).</w:t>
            </w:r>
          </w:p>
          <w:p>
            <w:pPr>
              <w:ind w:left="-284" w:right="-427"/>
              <w:jc w:val="both"/>
              <w:rPr>
                <w:rFonts/>
                <w:color w:val="262626" w:themeColor="text1" w:themeTint="D9"/>
              </w:rPr>
            </w:pPr>
            <w:r>
              <w:t>	"ŠKODA sigue creciendo de forma rentable", enfatizó Winfried Krause. "El incremento del beneficio operativo es una expresión de nuestra solidez y fortaleza a nivel financiero".</w:t>
            </w:r>
          </w:p>
          <w:p>
            <w:pPr>
              <w:ind w:left="-284" w:right="-427"/>
              <w:jc w:val="both"/>
              <w:rPr>
                <w:rFonts/>
                <w:color w:val="262626" w:themeColor="text1" w:themeTint="D9"/>
              </w:rPr>
            </w:pPr>
            <w:r>
              <w:t>	Estos resultados positivos demuestran la fortaleza financiera de la compañía y son la base para continuar con la campaña de modelos de ŠKODA, a la que pertenece la última generación del ŠKODA Superb. La versión berlina del Superb se lanzó al mercado en el tercer trimestre, mientras que el Superb Combi se lanzará en los primeros once mercados europeos en el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https://www.notasdeprensa.es/koda-crece-en-los-primeros-nueve-meses-de-2015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