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16/01/2024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Kapsch sitúa a Vitoria-Gasteiz a la vanguardia de la movilidad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meses, está ejecutando los trabajos del contrato para la gestión de los sistemas de información y control de la circulación de la ciudad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Kapsch TrafficCom, proveedor internacional de tecnología, servicios y soluciones para Sistemas de Transporte Inteligente (ITS), refuerza su compromiso con la movilidad sostenible y saludable en la ciudad de Vitoria-Gasteiz, situándola a la vanguardia en el cambio hacia la movilidad del futuro.</w:t>
            </w:r>
          </w:p>
          <w:p>
            <w:pPr>
              <w:ind w:left="-284" w:right="-427"/>
              <w:jc w:val="both"/>
              <w:rPr>
                <w:rFonts/>
                <w:color w:val="262626" w:themeColor="text1" w:themeTint="D9"/>
              </w:rPr>
            </w:pPr>
            <w:r>
              <w:t>La empresa resultó adjudicataria en 2023 de la Gestión de los Sistemas de Información y Control de la Circulación en Vitoria-Gasteiz, proyecto que tiene como objetivo prioritario garantizar la prestación ininterrumpida y sin alteraciones de los sistemas de control y gestión del tráfico y la movilidad en la ciudad.</w:t>
            </w:r>
          </w:p>
          <w:p>
            <w:pPr>
              <w:ind w:left="-284" w:right="-427"/>
              <w:jc w:val="both"/>
              <w:rPr>
                <w:rFonts/>
                <w:color w:val="262626" w:themeColor="text1" w:themeTint="D9"/>
              </w:rPr>
            </w:pPr>
            <w:r>
              <w:t>"Estamos orgullosos de apoyar a la ciudad en su misión de garantizar una movilidad segura para sus ciudadanos", comenta Javier Aguirre, presidente/CEO de Kapsch TrafficCom para España y Portugal. "Con el fin de permitir el tráfico sostenible y seguro del futuro, la digitalización de la gestión del tráfico es una palanca clave para las autoridades".</w:t>
            </w:r>
          </w:p>
          <w:p>
            <w:pPr>
              <w:ind w:left="-284" w:right="-427"/>
              <w:jc w:val="both"/>
              <w:rPr>
                <w:rFonts/>
                <w:color w:val="262626" w:themeColor="text1" w:themeTint="D9"/>
              </w:rPr>
            </w:pPr>
            <w:r>
              <w:t>Este contrato comprende desde la configuración y operación de los sistemas y equipos y su mantenimiento preventivo y correctivo, a la instalación y desarrollo de nuevas funcionalidades en las que se ha aplicado un alto componente tecnológico, así como la recogida, gestión y explotación de la información derivada de los aforos, cámaras, afecciones de la circulación, etc. para realizar diagnósticos y emitir información sobre el servicio y la movilidad de la ciudad, tanto internamente, como en otros sistemas de comunicación externos (radio, web, redes sociales). Incluye, asimismo, el mantenimiento y operación de los nuevos elementos de control incorporados a la ciudad en los últimos años a nivel de movilidad, como el sistema de prioridad semafórica del BEI y el sistema de prioridad tranviaria de las nuevas ampliaciones del tranvía.</w:t>
            </w:r>
          </w:p>
          <w:p>
            <w:pPr>
              <w:ind w:left="-284" w:right="-427"/>
              <w:jc w:val="both"/>
              <w:rPr>
                <w:rFonts/>
                <w:color w:val="262626" w:themeColor="text1" w:themeTint="D9"/>
              </w:rPr>
            </w:pPr>
            <w:r>
              <w:t>Este contrato implica una inversión de aproximadamente 4 millones de euros y se desarrollará en un plazo de cuatro años.</w:t>
            </w:r>
          </w:p>
          <w:p>
            <w:pPr>
              <w:ind w:left="-284" w:right="-427"/>
              <w:jc w:val="both"/>
              <w:rPr>
                <w:rFonts/>
                <w:color w:val="262626" w:themeColor="text1" w:themeTint="D9"/>
              </w:rPr>
            </w:pPr>
            <w:r>
              <w:t>Más información: Prensa Kapsch TrafficCom</w:t>
            </w:r>
          </w:p>
          <w:p>
            <w:pPr>
              <w:ind w:left="-284" w:right="-427"/>
              <w:jc w:val="both"/>
              <w:rPr>
                <w:rFonts/>
                <w:color w:val="262626" w:themeColor="text1" w:themeTint="D9"/>
              </w:rPr>
            </w:pPr>
            <w:r>
              <w:t>Kapsch TrafficCom es un proveedor internacional de soluciones de transporte para movilidad sostenible con proyectos de éxito en más de 50 países de todo el mundo. Sus soluciones innovadoras en los ámbitos de aplicación del peaje, gestión del tráfico, gestión de la demanda y los servicios de movilidad contribuyen a un mundo saludable sin congestiones de tráfico.</w:t>
            </w:r>
          </w:p>
          <w:p>
            <w:pPr>
              <w:ind w:left="-284" w:right="-427"/>
              <w:jc w:val="both"/>
              <w:rPr>
                <w:rFonts/>
                <w:color w:val="262626" w:themeColor="text1" w:themeTint="D9"/>
              </w:rPr>
            </w:pPr>
            <w:r>
              <w:t>"Con nuestras soluciones integrales, cubrimos toda la cadena de valor de nuestros clientes, desde los componentes hasta el diseño e implementación y la operación de los sistemas".</w:t>
            </w:r>
          </w:p>
          <w:p>
            <w:pPr>
              <w:ind w:left="-284" w:right="-427"/>
              <w:jc w:val="both"/>
              <w:rPr>
                <w:rFonts/>
                <w:color w:val="262626" w:themeColor="text1" w:themeTint="D9"/>
              </w:rPr>
            </w:pPr>
            <w:r>
              <w:t>Kapsch TrafficCom, con sede en Viena, tiene filiales y sucursales en más de 25 países y cotiza en el segmento de mercado principal de la Bolsa de Viena (símbolo: KTCG). Los cerca de 4,220 empleados de Kapsch TrafficCom generaron unos ingresos de 520 millones de euros en el año fiscal 2021/22.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Bijelic </w:t>
      </w:r>
    </w:p>
    <w:p w:rsidR="00C31F72" w:rsidRDefault="00C31F72" w:rsidP="00AB63FE">
      <w:pPr>
        <w:pStyle w:val="Sinespaciado"/>
        <w:spacing w:line="276" w:lineRule="auto"/>
        <w:ind w:left="-284"/>
        <w:rPr>
          <w:rFonts w:ascii="Arial" w:hAnsi="Arial" w:cs="Arial"/>
        </w:rPr>
      </w:pPr>
      <w:r>
        <w:rPr>
          <w:rFonts w:ascii="Arial" w:hAnsi="Arial" w:cs="Arial"/>
        </w:rPr>
        <w:t>Head of Corporate Communications Kapsch</w:t>
      </w:r>
    </w:p>
    <w:p w:rsidR="00AB63FE" w:rsidRDefault="00C31F72" w:rsidP="00AB63FE">
      <w:pPr>
        <w:pStyle w:val="Sinespaciado"/>
        <w:spacing w:line="276" w:lineRule="auto"/>
        <w:ind w:left="-284"/>
        <w:rPr>
          <w:rFonts w:ascii="Arial" w:hAnsi="Arial" w:cs="Arial"/>
        </w:rPr>
      </w:pPr>
      <w:r>
        <w:rPr>
          <w:rFonts w:ascii="Arial" w:hAnsi="Arial" w:cs="Arial"/>
        </w:rPr>
        <w:t>+43 664 628 1720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https://www.notasdeprensa.es/kapsch-situa-a-vitoria-gasteiz-a-la-vanguardia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Logística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