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InsureandGo comienza a operar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InsureandGo, la compañía de MAPFRE ASISTENCIA especializada en la distribución de seguro de viaje online ha puesto en marcha su actividad en el mercado francés. El desembarco en Francia supone la expansión del negocio a países de habla no inglesa.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InsureandGo ofrece a través de su página web de Francia, www.insureandgo.fr, la contratación de pólizas personalizables que se adaptan a las necesidades que presenta este mercado. La plataforma incluye soluciones tecnológicas para ofrecer productos aseguradores a medida del cliente final y permite el acceso multidispositivo para la compra de billetes desde cualquier soporte, como smartphones o tablets, entre otros.</w:t>
            </w:r>
          </w:p>
          <w:p>
            <w:pPr>
              <w:ind w:left="-284" w:right="-427"/>
              <w:jc w:val="both"/>
              <w:rPr>
                <w:rFonts/>
                <w:color w:val="262626" w:themeColor="text1" w:themeTint="D9"/>
              </w:rPr>
            </w:pPr>
            <w:r>
              <w:t>	InsureandGo es el líder mundial en la distribución de seguro de viaje online con más de 2,8 millones de pólizas vendidas al año. Además de en Francia, la entidad tiene presencia en Australia, Estados Unidos y Reino Unido e Irlanda.</w:t>
            </w:r>
          </w:p>
          <w:p>
            <w:pPr>
              <w:ind w:left="-284" w:right="-427"/>
              <w:jc w:val="both"/>
              <w:rPr>
                <w:rFonts/>
                <w:color w:val="262626" w:themeColor="text1" w:themeTint="D9"/>
              </w:rPr>
            </w:pPr>
            <w:r>
              <w:t>	InsureandGo, forma parte de MAPFRE ASISTENCIA desde 2010 y destaca por su especialización en el sector de seguros de viaje de venta online para particulares.</w:t>
            </w:r>
          </w:p>
          <w:p>
            <w:pPr>
              <w:ind w:left="-284" w:right="-427"/>
              <w:jc w:val="both"/>
              <w:rPr>
                <w:rFonts/>
                <w:color w:val="262626" w:themeColor="text1" w:themeTint="D9"/>
              </w:rPr>
            </w:pPr>
            <w:r>
              <w:t>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p>
            <w:pPr>
              <w:ind w:left="-284" w:right="-427"/>
              <w:jc w:val="both"/>
              <w:rPr>
                <w:rFonts/>
                <w:color w:val="262626" w:themeColor="text1" w:themeTint="D9"/>
              </w:rPr>
            </w:pPr>
            <w:r>
              <w:t>			Categorías:</w:t>
            </w:r>
          </w:p>
          <w:p>
            <w:pPr>
              <w:ind w:left="-284" w:right="-427"/>
              <w:jc w:val="both"/>
              <w:rPr>
                <w:rFonts/>
                <w:color w:val="262626" w:themeColor="text1" w:themeTint="D9"/>
              </w:rPr>
            </w:pPr>
            <w:r>
              <w:t>		 Adquisiciones, proyectos y enajenaciones </w:t>
            </w:r>
          </w:p>
          <w:p>
            <w:pPr>
              <w:ind w:left="-284" w:right="-427"/>
              <w:jc w:val="both"/>
              <w:rPr>
                <w:rFonts/>
                <w:color w:val="262626" w:themeColor="text1" w:themeTint="D9"/>
              </w:rPr>
            </w:pPr>
            <w:r>
              <w:t>		 Asistencia </w:t>
            </w:r>
          </w:p>
          <w:p>
            <w:pPr>
              <w:ind w:left="-284" w:right="-427"/>
              <w:jc w:val="both"/>
              <w:rPr>
                <w:rFonts/>
                <w:color w:val="262626" w:themeColor="text1" w:themeTint="D9"/>
              </w:rPr>
            </w:pPr>
            <w:r>
              <w:t>		 Viajes </w:t>
            </w:r>
          </w:p>
          <w:p>
            <w:pPr>
              <w:ind w:left="-284" w:right="-427"/>
              <w:jc w:val="both"/>
              <w:rPr>
                <w:rFonts/>
                <w:color w:val="262626" w:themeColor="text1" w:themeTint="D9"/>
              </w:rPr>
            </w:pPr>
            <w:r>
              <w:t>	Entidades:</w:t>
            </w:r>
          </w:p>
          <w:p>
            <w:pPr>
              <w:ind w:left="-284" w:right="-427"/>
              <w:jc w:val="both"/>
              <w:rPr>
                <w:rFonts/>
                <w:color w:val="262626" w:themeColor="text1" w:themeTint="D9"/>
              </w:rPr>
            </w:pPr>
            <w:r>
              <w:t>		MAPFRE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https://www.notasdeprensa.es/insureandgo-comienza-a-operar-en-francia_1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