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la UPM consolidan su colaboración en la formación de postgrado para gerentes de la multinacional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rector de la Universidad Politécnica de Madrid (UPM), Carlos Conde, y la directora de Capital Humano de Indra, Almudena Rodríguez Tarodo, han presidido la inauguración de la tercera edición del curso “Especialista en Función Gerencial Estratégica”, celebrada hoy 4 de noviembre en la sede de la multinacional.</w:t>
            </w:r>
          </w:p>
          <w:p>
            <w:pPr>
              <w:ind w:left="-284" w:right="-427"/>
              <w:jc w:val="both"/>
              <w:rPr>
                <w:rFonts/>
                <w:color w:val="262626" w:themeColor="text1" w:themeTint="D9"/>
              </w:rPr>
            </w:pPr>
            <w:r>
              <w:t>Este postgrado, junto con el curso “Especialista en Gestión Integral de Operaciones”, que ha iniciado también su tercera edición recientemente, constituye el “Máster en Gerencia Global”, un título propio de la UPM dirigido a profesionales del equipo de gestión de la multinacional tecnológica. Este máster tiene el objetivo de potenciar la excelencia en el desempeño de los gerentes de Indra y mejorar su preparación para abordar los retos presentes y futuros de la compañía, con especial atención a aspectos estratégicos como la innovación y la internacionalización.</w:t>
            </w:r>
          </w:p>
          <w:p>
            <w:pPr>
              <w:ind w:left="-284" w:right="-427"/>
              <w:jc w:val="both"/>
              <w:rPr>
                <w:rFonts/>
                <w:color w:val="262626" w:themeColor="text1" w:themeTint="D9"/>
              </w:rPr>
            </w:pPr>
            <w:r>
              <w:t>Tras esta tercera edición, más de 200 gerentes de Indra habrán cursado alguno de los postgrados. Con ellos, la compañía les ofrece una formación de la máxima calidad y adaptada a las necesidades de negocio, combinando la experiencia docente del profesorado de la UPM y ponentes externos, con el conocimiento y experiencia interna de sus propios profesionales-profesores, que actúan además como tutores de las actividades que se llevan a cabo.</w:t>
            </w:r>
          </w:p>
          <w:p>
            <w:pPr>
              <w:ind w:left="-284" w:right="-427"/>
              <w:jc w:val="both"/>
              <w:rPr>
                <w:rFonts/>
                <w:color w:val="262626" w:themeColor="text1" w:themeTint="D9"/>
              </w:rPr>
            </w:pPr>
            <w:r>
              <w:t>Los cursos combinan la formación presencial con actividades on line, a través de la plataforma colaborativa de formación y gestión del conocimiento de Indra Compartiendo Conocimiento, que permite a los alumnos compartir recursos, participar en aulas virtuales o desarrollar actividades colaborativas, con la flexibilidad necesaria para compatibilizar la formación con el trabajo diario.</w:t>
            </w:r>
          </w:p>
          <w:p>
            <w:pPr>
              <w:ind w:left="-284" w:right="-427"/>
              <w:jc w:val="both"/>
              <w:rPr>
                <w:rFonts/>
                <w:color w:val="262626" w:themeColor="text1" w:themeTint="D9"/>
              </w:rPr>
            </w:pPr>
            <w:r>
              <w:t>El “Máster en Gerencia Global” tiene una duración de 600 horas lectivas, equivalente a 60 créditos ECTS, y está formado por los dos postgrados mencionados (con una duración de 10 y 14 meses, respectivamente, y 30 créditos ECTS cada uno) más el Proyecto Fin de Máster (12 créditos más). Es un título propio de la UPM, adscrito al departamento de Ingeniería de Organización, Administración de Empresas y Estadística a la ETSII.</w:t>
            </w:r>
          </w:p>
          <w:p>
            <w:pPr>
              <w:ind w:left="-284" w:right="-427"/>
              <w:jc w:val="both"/>
              <w:rPr>
                <w:rFonts/>
                <w:color w:val="262626" w:themeColor="text1" w:themeTint="D9"/>
              </w:rPr>
            </w:pPr>
            <w:r>
              <w:t>Impulso a la eficiencia y a la innovación</w:t>
            </w:r>
          </w:p>
          <w:p>
            <w:pPr>
              <w:ind w:left="-284" w:right="-427"/>
              <w:jc w:val="both"/>
              <w:rPr>
                <w:rFonts/>
                <w:color w:val="262626" w:themeColor="text1" w:themeTint="D9"/>
              </w:rPr>
            </w:pPr>
            <w:r>
              <w:t>La colaboración con la UPM en este máster muestra el compromiso de Indra con el desarrollo de su talento interno y con la búsqueda de los más altos estándares de calidad en su gestión.</w:t>
            </w:r>
          </w:p>
          <w:p>
            <w:pPr>
              <w:ind w:left="-284" w:right="-427"/>
              <w:jc w:val="both"/>
              <w:rPr>
                <w:rFonts/>
                <w:color w:val="262626" w:themeColor="text1" w:themeTint="D9"/>
              </w:rPr>
            </w:pPr>
            <w:r>
              <w:t>Pero más allá del beneficio para los profesionales que cursan los postgrados, que mejoran su cualificación y proyección profesional, la iniciativa está permitiendo a Indra detectar necesidades y poner en marcha interna y externamente nuevos proyectos ideados en los cursos, que permiten mejorar en ámbitos como la eficiencia o la innovación. Entre ellos, se puede mencionar la creación de un buscador de ofertas interno, un proyecto para el aprovechamiento del talento innovador mediante el fomento del intraemprendimiento o una herramienta para la valoración automática de grandes carteras de inmuebles, que ya se ha convertido en una realidad y está teniendo una buena acogida en el mercado.</w:t>
            </w:r>
          </w:p>
          <w:p>
            <w:pPr>
              <w:ind w:left="-284" w:right="-427"/>
              <w:jc w:val="both"/>
              <w:rPr>
                <w:rFonts/>
                <w:color w:val="262626" w:themeColor="text1" w:themeTint="D9"/>
              </w:rPr>
            </w:pPr>
            <w:r>
              <w:t>La innovación es la base del negocio y la sostenibilidad de Indra, y la clave de la diferenciación de su oferta de soluciones y servicios. La innovación está basada en el talento y por eso, la captación, desarrollo y retención del talento es un área fundamental para la sostenibilidad de Indra y una prioridad estratégica. La compañía mantiene actualmente relación con más de 250 universidades y centros de investigación mediante cátedras, acuerdos y proyectos de I+D+i, que le permiten acceder a nuevas tecnologías y captar profesionales. Cuenta actualmente con 23 cátedras universitarias, dos de ellas fuera de España. En el caso de la UPM la colaboración, de más de 30 años y con tres cátedras de investigación activas, se extiende también a la formación directiva a través de estos postgrados.</w:t>
            </w:r>
          </w:p>
          <w:p>
            <w:pPr>
              <w:ind w:left="-284" w:right="-427"/>
              <w:jc w:val="both"/>
              <w:rPr>
                <w:rFonts/>
                <w:color w:val="262626" w:themeColor="text1" w:themeTint="D9"/>
              </w:rPr>
            </w:pPr>
            <w:r>
              <w:t>Indra</w:t>
            </w:r>
          </w:p>
          <w:p>
            <w:pPr>
              <w:ind w:left="-284" w:right="-427"/>
              <w:jc w:val="both"/>
              <w:rPr>
                <w:rFonts/>
                <w:color w:val="262626" w:themeColor="text1" w:themeTint="D9"/>
              </w:rPr>
            </w:pPr>
            <w:r>
              <w:t>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w:t>
            </w:r>
          </w:p>
          <w:p>
            <w:pPr>
              <w:ind w:left="-284" w:right="-427"/>
              <w:jc w:val="both"/>
              <w:rPr>
                <w:rFonts/>
                <w:color w:val="262626" w:themeColor="text1" w:themeTint="D9"/>
              </w:rPr>
            </w:pPr>
            <w:r>
              <w:t>UPM</w:t>
            </w:r>
          </w:p>
          <w:p>
            <w:pPr>
              <w:ind w:left="-284" w:right="-427"/>
              <w:jc w:val="both"/>
              <w:rPr>
                <w:rFonts/>
                <w:color w:val="262626" w:themeColor="text1" w:themeTint="D9"/>
              </w:rPr>
            </w:pPr>
            <w:r>
              <w:t>La Escuela Técnica Superior de Ingenieros Industriales forma parte de la Universidad Politécnica de Madrid (UPM), una de las universidades tecnológicas de referencia en Europa. La UPM tiene el reconocimiento de Campus de Excelencia Internacional. En sus aulas se forman cerca de 38.000 estudiantes de grado y 6.000 de doctorado y posgrado. Alrededor de 4.000 investigadores desarrollan su actividad en sus Centros. En ellos es reconocida internacionalmente la excelencia de sus 215 grupos de investigación.  La UPM es la primera universidad española en captación de recursos externos en I+D+i y cuenta con la más alta participación en proyectos del VII Programa Marco.</w:t>
            </w:r>
          </w:p>
          <w:p>
            <w:pPr>
              <w:ind w:left="-284" w:right="-427"/>
              <w:jc w:val="both"/>
              <w:rPr>
                <w:rFonts/>
                <w:color w:val="262626" w:themeColor="text1" w:themeTint="D9"/>
              </w:rPr>
            </w:pPr>
            <w:r>
              <w:t>La Escuela Técnica Superior de Ingenieros Industriales de la UPM es una institución académica de referencia a nivel nacional e internacional en la formación de ingeniería en España. Con 4.500 estudiantes, 300 profesores, 780 investigadores en proyectos de I+D y acuerdos con más de 140 universidades en 43 países, la ETSII es la escuela de ingeniería industrial líder por experiencia, demanda de admisiones, innovación y proyección internacional. Es el primer centro público cuya titulación de Ingeniería Industrial cuenta con la certificación americana ABET y con Memoria de Responsabilidad Social verificada por GRI.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https://www.notasdeprensa.es/indra-y-la-upm-consolidan-su-colaboracion-en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