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adhiere a la comunidad de investigación abierta europea Trust in Digital Life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ha entrado a formar parte de Trust in Digital Life (TDL), el grupo europeo de investigación abierta que tiene como objetivo promocionar el desarrollo y uso de Tecnologías de la Información y Comunicación seguras, confiables y respetuosas con la privacidad de los ciudadanos.</w:t>
            </w:r>
          </w:p>
          <w:p>
            <w:pPr>
              <w:ind w:left="-284" w:right="-427"/>
              <w:jc w:val="both"/>
              <w:rPr>
                <w:rFonts/>
                <w:color w:val="262626" w:themeColor="text1" w:themeTint="D9"/>
              </w:rPr>
            </w:pPr>
            <w:r>
              <w:t>Formar parte de esta asociación permitirá a Indra aprovechar sinergias con las principales compañías tecnológicas, detectar necesidades emergentes de los usuarios, mejorar su oferta de soluciones y participar en iniciativas multinacionales.</w:t>
            </w:r>
          </w:p>
          <w:p>
            <w:pPr>
              <w:ind w:left="-284" w:right="-427"/>
              <w:jc w:val="both"/>
              <w:rPr>
                <w:rFonts/>
                <w:color w:val="262626" w:themeColor="text1" w:themeTint="D9"/>
              </w:rPr>
            </w:pPr>
            <w:r>
              <w:t>Por su parte, Indra aportará su amplia experiencia en el desarrollo de sistemas TIC y su profundo conocimiento de las necesidades de grandes clientes para los que trabaja en distintos sectores. Asimismo, aportará su capacidad para validar y probar nuevas tecnologías de forma rápida y poder llevarlas al mercado en el corto plazo.</w:t>
            </w:r>
          </w:p>
          <w:p>
            <w:pPr>
              <w:ind w:left="-284" w:right="-427"/>
              <w:jc w:val="both"/>
              <w:rPr>
                <w:rFonts/>
                <w:color w:val="262626" w:themeColor="text1" w:themeTint="D9"/>
              </w:rPr>
            </w:pPr>
            <w:r>
              <w:t>TDL ha sido señalada por la Comisión Europea en su Estrategia de Ciberseguridad como una de las asociaciones publico-privadas que pueden encauzar el trabajo de la industria europea para mejorar la seguridad.</w:t>
            </w:r>
          </w:p>
          <w:p>
            <w:pPr>
              <w:ind w:left="-284" w:right="-427"/>
              <w:jc w:val="both"/>
              <w:rPr>
                <w:rFonts/>
                <w:color w:val="262626" w:themeColor="text1" w:themeTint="D9"/>
              </w:rPr>
            </w:pPr>
            <w:r>
              <w:t>Fundada en 2009 por Gemalto, Microsoft, Nokia y Philips, TDL busca formar un equipo equilibrado de empresas, universidades, firmas de abogados, legisladores y administraciones públicas que desarrollen una visión conjunta sobre cómo desarrollar sistemas que ofrezcan confianza al usuario. En la actualidad, cuenta con más de 25 socios y está previsto que alcance los 40 este mismo año.</w:t>
            </w:r>
          </w:p>
          <w:p>
            <w:pPr>
              <w:ind w:left="-284" w:right="-427"/>
              <w:jc w:val="both"/>
              <w:rPr>
                <w:rFonts/>
                <w:color w:val="262626" w:themeColor="text1" w:themeTint="D9"/>
              </w:rPr>
            </w:pPr>
            <w:r>
              <w:t>Ciudadanos, administraciones y empresas dependen cada vez más del entorno digital para relacionarse, realizar intercambios y operaciones. Por ello esta asociación se ha fijado como misión monitorizar incidentes de ciberseguridad, elevar la concienciación sobre la necesidad de mejorar la seguridad y definir y validar herramientas interoperables de autenticación, que faciliten al ciudadano el uso seguro de servicios on-line.</w:t>
            </w:r>
          </w:p>
          <w:p>
            <w:pPr>
              <w:ind w:left="-284" w:right="-427"/>
              <w:jc w:val="both"/>
              <w:rPr>
                <w:rFonts/>
                <w:color w:val="262626" w:themeColor="text1" w:themeTint="D9"/>
              </w:rPr>
            </w:pPr>
            <w:r>
              <w:t>TDL también trabaja para definir los requisitos que deben cumplir las plataformas que gestionan datos de los usuarios. Su intención es garantizar la seguridad extremo a extremo, desde que el usuario los introduce en un equipo hasta que son recibidos. También trabaja para definir plataformas que aporten mayor seguridad en los dispositivos móviles.</w:t>
            </w:r>
          </w:p>
          <w:p>
            <w:pPr>
              <w:ind w:left="-284" w:right="-427"/>
              <w:jc w:val="both"/>
              <w:rPr>
                <w:rFonts/>
                <w:color w:val="262626" w:themeColor="text1" w:themeTint="D9"/>
              </w:rPr>
            </w:pPr>
            <w:r>
              <w:t>Para lograr todo esto, TDL desarrolla escenarios y casos que ayudan a probar las tecnologías y comprobar que cumplen los requisitos de seguridad y privacidad necesarios. También coordina iniciativas europeas para reducir la fragmentación en el desarrollo de tecnologías confiables, optimizando los esfuerzos de la industria.</w:t>
            </w:r>
          </w:p>
          <w:p>
            <w:pPr>
              <w:ind w:left="-284" w:right="-427"/>
              <w:jc w:val="both"/>
              <w:rPr>
                <w:rFonts/>
                <w:color w:val="262626" w:themeColor="text1" w:themeTint="D9"/>
              </w:rPr>
            </w:pPr>
            <w:r>
              <w:t>Indra</w:t>
            </w:r>
          </w:p>
          <w:p>
            <w:pPr>
              <w:ind w:left="-284" w:right="-427"/>
              <w:jc w:val="both"/>
              <w:rPr>
                <w:rFonts/>
                <w:color w:val="262626" w:themeColor="text1" w:themeTint="D9"/>
              </w:rPr>
            </w:pPr>
            <w:r>
              <w:t>Indra provee tecnología y soluciones de seguridad que identifican amenazas, evitan que se materialicen, blindan infraestructuras y minimizan los daños en caso de que se produzcan.</w:t>
            </w:r>
          </w:p>
          <w:p>
            <w:pPr>
              <w:ind w:left="-284" w:right="-427"/>
              <w:jc w:val="both"/>
              <w:rPr>
                <w:rFonts/>
                <w:color w:val="262626" w:themeColor="text1" w:themeTint="D9"/>
              </w:rPr>
            </w:pPr>
            <w:r>
              <w:t>La multinacional es líder en Europa en vigilancia costera. Sus sistemas protegen más de 5.000 km de fronteras en todo el mundo. Es además pionera en sistemas seguros de identificación, con más de 30 millones de documentos y cédulas de identidad expedidos en varios países. Asimismo, ha implantado centros de gestión de emergencias en ciudades como Madrid y Buenos Aires. En el ámbito de Ciberseguridad cuenta con el centro i-CSOC que presta servicios a empresas y organizaciones que lo requieren 24x7x365 días del año.</w:t>
            </w:r>
          </w:p>
          <w:p>
            <w:pPr>
              <w:ind w:left="-284" w:right="-427"/>
              <w:jc w:val="both"/>
              <w:rPr>
                <w:rFonts/>
                <w:color w:val="262626" w:themeColor="text1" w:themeTint="D9"/>
              </w:rPr>
            </w:pPr>
            <w:r>
              <w:t>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https://www.notasdeprensa.es/indra-se-adhiere-a-la-comunidad-de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