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Incluyen a CEMEX en índice bursátil del Pacto Mundial de la ONU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CEMEX S.A.B. de C.V. (“CEMEX”) (BMV: CEMEXCPO), anunció hoy que ha sido seleccionada para incluirse en el Pacto Mundial 100 (GC 100 por su nombre en inglés) de la Organización de las Naciones Unidas – un nuevo índice bursátil global que combina la sustentabilidad corporativa con el sólido desempeño financiero.</w:t>
            </w:r>
          </w:p>
          <w:p>
            <w:pPr>
              <w:ind w:left="-284" w:right="-427"/>
              <w:jc w:val="both"/>
              <w:rPr>
                <w:rFonts/>
                <w:color w:val="262626" w:themeColor="text1" w:themeTint="D9"/>
              </w:rPr>
            </w:pPr>
            <w:r>
              <w:t>“Nos complace que nuestras políticas y actividades de sustentabilidad han sido reconocidas de esta manera,” dijo Lorenzo H. Zambrano, Presidente del Consejo y Director General de CEMEX. “Por muchos años, las empresas y los inversionistas han buscado el lazo positivo entre las prácticas de negocio responsables y el rendimiento del mercado bursátil, y parece que el Pacto Mundial 100 ofrece precisamente esto”.</w:t>
            </w:r>
          </w:p>
          <w:p>
            <w:pPr>
              <w:ind w:left="-284" w:right="-427"/>
              <w:jc w:val="both"/>
              <w:rPr>
                <w:rFonts/>
                <w:color w:val="262626" w:themeColor="text1" w:themeTint="D9"/>
              </w:rPr>
            </w:pPr>
            <w:r>
              <w:t>El GC 100, desarrollado y presentado por el Pacto Mundial de las Naciones Unidas, en conjunto con la firma de investigación Sustainalytics, es integrado por un grupo representativo de compañías pertenecientes al Pacto Mundial, seleccionado con base a su cumplimiento de los diez principios del Pacto Mundial, así como a evidencia de su compromiso de liderazgo ejecutivo y su rentabilidad consistente.</w:t>
            </w:r>
          </w:p>
          <w:p>
            <w:pPr>
              <w:ind w:left="-284" w:right="-427"/>
              <w:jc w:val="both"/>
              <w:rPr>
                <w:rFonts/>
                <w:color w:val="262626" w:themeColor="text1" w:themeTint="D9"/>
              </w:rPr>
            </w:pPr>
            <w:r>
              <w:t>CEMEX es un miembro signatario del Pacto Mundial de las Naciones Unidas desde 2004 y es la única empresa con sede en México incluida en el GC 100.</w:t>
            </w:r>
          </w:p>
          <w:p>
            <w:pPr>
              <w:ind w:left="-284" w:right="-427"/>
              <w:jc w:val="both"/>
              <w:rPr>
                <w:rFonts/>
                <w:color w:val="262626" w:themeColor="text1" w:themeTint="D9"/>
              </w:rPr>
            </w:pPr>
            <w:r>
              <w:t>Como lo ha comunicado el Pacto Mundial de las Naciones Unidas, durante los pasados 12 meses, el GC 100 ha mostrado un retorno de inversión del 26.4 por ciento, sobrepasando el mercado bursátil global en general.</w:t>
            </w:r>
          </w:p>
          <w:p>
            <w:pPr>
              <w:ind w:left="-284" w:right="-427"/>
              <w:jc w:val="both"/>
              <w:rPr>
                <w:rFonts/>
                <w:color w:val="262626" w:themeColor="text1" w:themeTint="D9"/>
              </w:rPr>
            </w:pPr>
            <w:r>
              <w:t>El GC 100 dio seguimiento al desempeño del mercado bursátil de estas compañías durante los últimos tres años, comparando los resultados frente a una referencia amplia del mercado, el índice FTSE ® All World. Los datos de todos los rendimientos son los siguientes:</w:t>
            </w:r>
          </w:p>
          <w:p>
            <w:pPr>
              <w:ind w:left="-284" w:right="-427"/>
              <w:jc w:val="both"/>
              <w:rPr>
                <w:rFonts/>
                <w:color w:val="262626" w:themeColor="text1" w:themeTint="D9"/>
              </w:rPr>
            </w:pPr>
            <w:r>
              <w:t>GC 100 incrementó en un 26.45% a lo largo del año pasado; FTSE ® All World incrementó en un 22.1%</w:t>
            </w:r>
          </w:p>
          <w:p>
            <w:pPr>
              <w:ind w:left="-284" w:right="-427"/>
              <w:jc w:val="both"/>
              <w:rPr>
                <w:rFonts/>
                <w:color w:val="262626" w:themeColor="text1" w:themeTint="D9"/>
              </w:rPr>
            </w:pPr>
            <w:r>
              <w:t>GC 100 incrementó en un 19.0% a lo largo de los últimos 2 años; FTSE ® All World incrementó en un 17.7%</w:t>
            </w:r>
          </w:p>
          <w:p>
            <w:pPr>
              <w:ind w:left="-284" w:right="-427"/>
              <w:jc w:val="both"/>
              <w:rPr>
                <w:rFonts/>
                <w:color w:val="262626" w:themeColor="text1" w:themeTint="D9"/>
              </w:rPr>
            </w:pPr>
            <w:r>
              <w:t>GC 100 incrementó en un 12.0% a lo largo de los últimos 3 años; FTSE ® All World incrementó en un 12.0%</w:t>
            </w:r>
          </w:p>
          <w:p>
            <w:pPr>
              <w:ind w:left="-284" w:right="-427"/>
              <w:jc w:val="both"/>
              <w:rPr>
                <w:rFonts/>
                <w:color w:val="262626" w:themeColor="text1" w:themeTint="D9"/>
              </w:rPr>
            </w:pPr>
            <w:r>
              <w:t>“Mientras que el desempeño del GC 100 no debe verse como clara evidencia de la relación causal entre un compromiso hacia la sustentabilidad corporativa y el desempeño de una acción, parece haber una emocionante correlación,” dijo George Kell, Director Ejecutivo de el Pacto Mundial de las Naciones Unidas. “Más aún, los resultados también pueden reflejar el hecho de que el desempeño de sustentabilidad es un factor que está recibiendo mayor interés por parte de los inversionistas”.</w:t>
            </w:r>
          </w:p>
          <w:p>
            <w:pPr>
              <w:ind w:left="-284" w:right="-427"/>
              <w:jc w:val="both"/>
              <w:rPr>
                <w:rFonts/>
                <w:color w:val="262626" w:themeColor="text1" w:themeTint="D9"/>
              </w:rPr>
            </w:pPr>
            <w:r>
              <w:t>El GC 100 crea un lazo entre el desempeño corporativo en cuestiones medioambientales y sociales con el requerimiento de la rentabilidad básica. Kell añadió, “El desempeño de sustentabilidad no debe verse de manera aislada, por ello incluimos un requerimiento de buena salud financiera básica. Ambos factores se toman usualmente como representantes de la calidad de la administración, la cual puede ser un determinante de importancia para los retornos de inversión”.</w:t>
            </w:r>
          </w:p>
          <w:p>
            <w:pPr>
              <w:ind w:left="-284" w:right="-427"/>
              <w:jc w:val="both"/>
              <w:rPr>
                <w:rFonts/>
                <w:color w:val="262626" w:themeColor="text1" w:themeTint="D9"/>
              </w:rPr>
            </w:pPr>
            <w:r>
              <w:t>Para mayor información del indicador bursátil del Pacto Mundial 100 de las Naciones Unidas, incluyendo la lista de las compañías integrantes, visite: http://unglobalcompact.org/news/421-09-18-2013.</w:t>
            </w:r>
          </w:p>
          <w:p>
            <w:pPr>
              <w:ind w:left="-284" w:right="-427"/>
              <w:jc w:val="both"/>
              <w:rPr>
                <w:rFonts/>
                <w:color w:val="262626" w:themeColor="text1" w:themeTint="D9"/>
              </w:rPr>
            </w:pPr>
            <w:r>
              <w:t>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w:t>
            </w:r>
          </w:p>
          <w:p>
            <w:pPr>
              <w:ind w:left="-284" w:right="-427"/>
              <w:jc w:val="both"/>
              <w:rPr>
                <w:rFonts/>
                <w:color w:val="262626" w:themeColor="text1" w:themeTint="D9"/>
              </w:rPr>
            </w:pPr>
            <w:r>
              <w:t>La información que se presenta en este comunicado contiene ciertas declaraciones acerca del futuro e información relativa a CEMEX, S.A.B. de C.V. y sus subsidiarias (en conjunto, "CEMEX") las cuales están basadas en el entendimiento de sus administradores, así como en supuestos e información actualmente disponible para CEMEX. Muchos factores podrían causar que los resultados, desempeño o logros actuales de CEMEX sean materialmente diferentes con respecto a cualquier resultado futuro, desempeño o logro de CEMEX que pudiera ser incluida, en forma expresa o implícita dentro de dichas declaraciones acerca del futuro. CEMEX no pretende y no asume ninguna obligación de actualizar estas declaraciones acerca del futuro. CEMEX no es responsable por el contenido de cualquier sitio web de terceros o página web referenciada o accesibles a través de este comunicado. Este comunicado no constituye una oferta de compra de cualquier tipo de valores de CEMEX en cualquier transacción.</w:t>
            </w:r>
          </w:p>
           Contactos para información de CEMEX:     
          <w:p>
            <w:pPr>
              <w:ind w:left="-284" w:right="-427"/>
              <w:jc w:val="both"/>
              <w:rPr>
                <w:rFonts/>
                <w:color w:val="262626" w:themeColor="text1" w:themeTint="D9"/>
              </w:rPr>
            </w:pPr>
            <w:r>
              <w:t>Relación con medios Jorge Pérez +52 (81) 8888-4334 mr@cemex.com</w:t>
            </w:r>
          </w:p>
          <w:p>
            <w:pPr>
              <w:ind w:left="-284" w:right="-427"/>
              <w:jc w:val="both"/>
              <w:rPr>
                <w:rFonts/>
                <w:color w:val="262626" w:themeColor="text1" w:themeTint="D9"/>
              </w:rPr>
            </w:pPr>
            <w:r>
              <w:t>Relación con inversionistas Eduardo Rendón +52 (81) 8888-4256 ir@cemex.com</w:t>
            </w:r>
          </w:p>
          <w:p>
            <w:pPr>
              <w:ind w:left="-284" w:right="-427"/>
              <w:jc w:val="both"/>
              <w:rPr>
                <w:rFonts/>
                <w:color w:val="262626" w:themeColor="text1" w:themeTint="D9"/>
              </w:rPr>
            </w:pPr>
            <w:r>
              <w:t>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https://www.notasdeprensa.es/incluyen-a-cemex-en-indice-bursatil-del-pacto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Bolsa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