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obtiene el Código de Buenas Prácticas de ASEDIE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inAtlas, empresa de Data Analytics y de Tecnologia de Geolocalización, que ofrece soluciones estratégicas de negocios basadas en la ubicación, ha recibido el Código de Buenas Prácticas por ASEDIE, organismo que garantiza el uso adecuado y leal tratamiento de la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inAtlas es miembro de ASEDIE, Asociación Multisectorial de la Información, que aglutina a empresas infomediarias de distintos sectores, cuyo objetivo es el uso, reutilización y distribución de la información. Este organismo regula mediante normas de compromiso y obligatoriedad la protección de la información y su tratamiento. Recientemente ASEDIE ha otorgado a inAtlas el Código de Buenas Prácticas. Cada empresa asociada a este organismo además de cumplir las normas generales tiene la obligación de obtener, tratar y comercializar la información conforme a la legislación que en cada momento sea de aplicación, en especial, la relativa a la normativa de protección de datos. Este Código de Buenas Prácticas está basado en los principios de transparencia y legalidad, devenga en el aumento de la seguridad y solidez de la información cumple una doble finalidad garantizar el adecuado uso y leal tratamiento de la información a la vez que protege los intereses con relación al tratamiento de la información.</w:t>
            </w:r>
          </w:p>
          <w:p>
            <w:pPr>
              <w:ind w:left="-284" w:right="-427"/>
              <w:jc w:val="both"/>
              <w:rPr>
                <w:rFonts/>
                <w:color w:val="262626" w:themeColor="text1" w:themeTint="D9"/>
              </w:rPr>
            </w:pPr>
            <w:r>
              <w:t>inAtlas, empresa especializada en Location Analytics ha desarrollado y gestionado una aplicación, pionera, de Geomarketing que gestiona y transforma los datos en conocimiento útil. Relaciona contextos geográficos con datos empresariales y sociodemográficos para negocios B2B y B2C. La información se ha convertido en un activo. El sector infomediario está conformado por empresas que se dedican a administrar y gestionar cantidades ingentes de datos, como materia prima, con la finalidad de generar servicios de valor añadido mediante la aplicación de métodos que favorezcan la fiabilidad y transparencia de las transacciones comerciales en el ámbito empresarial: industria, comercio, sanidad, transporte, turismo, cultura o inmobiliaria.</w:t>
            </w:r>
          </w:p>
          <w:p>
            <w:pPr>
              <w:ind w:left="-284" w:right="-427"/>
              <w:jc w:val="both"/>
              <w:rPr>
                <w:rFonts/>
                <w:color w:val="262626" w:themeColor="text1" w:themeTint="D9"/>
              </w:rPr>
            </w:pPr>
            <w:r>
              <w:t>El gran reto de las empresas que acceden a los servicios infomediarios, señala Silvia Banchini, directora general, radica “en la necesidad de encontrar más seguridad en la veracidad de la información para gestionar las operaciones de riesgo de las empresas y rentabilizar la inversión de la ingente cantidad de datos a los cuales tienen acceso y, sobre todo, aportar un valor clave a sus procesos empresariales”.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EKMB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https://www.notasdeprensa.es/inatlas-obtiene-el-codigo-de-buenas-practicas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Turismo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