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presenta la nueva arquitectura X6 y optimiza los servidores basados en x86 para la nube y la analítica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 IBM) ha presentado hoy la sexta generación de su arquitectura empresarial X para los servidores System x y PureSystems, que ofrece innovadoras mejoras en el rendimiento y la rentabilidad de los sistemas basados en x86 para la analítica y la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- 16 ene 2014:  IBM (NYSE: IBM) ha presentado hoy la sexta generación de su arquitectura empresarial X para los servidores System x y PureSystems, que ofrece innovadoras mejoras en el rendimiento y la rentabilidad de los sistemas basados en x86 para la analítica y la nube.</w:t>
            </w:r>
          </w:p>
          <w:p>
            <w:pPr>
              <w:ind w:left="-284" w:right="-427"/>
              <w:jc w:val="both"/>
              <w:rPr>
                <w:rFonts/>
                <w:color w:val="262626" w:themeColor="text1" w:themeTint="D9"/>
              </w:rPr>
            </w:pPr>
            <w:r>
              <w:t>	Para muchos clientes que están adoptando la analítica para conocer mejor su negocio y trasladando a la nube las cargas de trabajo críticas como ERP, la analítica y las bases de datos con el fin de incrementar la eficiencia y reducir los costes, los sistemas basados en x86 son su primera elección. La nueva arquitectura X6 refleja la inversión continuada de IBM en I+D y su liderazgo en el sector de los sistemas basados en x86 y ha sido específicamente diseñada para aportar nuevos niveles de rendimiento y flexibilidad en las aplicaciones empresariales. Para aquellas aplicaciones que requieren un uso intensivo de la memoria, X6 ofrece tres veces la memoria escalable de los competidores actuales y los sistemas basados en x86 de IBM para cloud y analítica. [1]</w:t>
            </w:r>
          </w:p>
          <w:p>
            <w:pPr>
              <w:ind w:left="-284" w:right="-427"/>
              <w:jc w:val="both"/>
              <w:rPr>
                <w:rFonts/>
                <w:color w:val="262626" w:themeColor="text1" w:themeTint="D9"/>
              </w:rPr>
            </w:pPr>
            <w:r>
              <w:t>	La arquitectura, X6 se caracteriza por ser:</w:t>
            </w:r>
          </w:p>
          <w:p>
            <w:pPr>
              <w:ind w:left="-284" w:right="-427"/>
              <w:jc w:val="both"/>
              <w:rPr>
                <w:rFonts/>
                <w:color w:val="262626" w:themeColor="text1" w:themeTint="D9"/>
              </w:rPr>
            </w:pPr>
            <w:r>
              <w:t>	• Rápida, gracias al almacenamiento integrado en eXFlash, pionero en la industria. Este almacenamiento instalado en los canales de memoria proporciona hasta 12,8 terabytes de almacenamiento flash, lo que aumenta el rendimiento de las aplicaciones al proporcionar la más baja latencia del sistema posible. X6 puede proporcionar también una latencia significativamente menor para las operaciones de base de datos, lo que puede reducir costes de licencias y de almacenamiento al reducir o eliminar la necesidad de unidades de almacenamiento SAN / NAS externas; [2]</w:t>
            </w:r>
          </w:p>
          <w:p>
            <w:pPr>
              <w:ind w:left="-284" w:right="-427"/>
              <w:jc w:val="both"/>
              <w:rPr>
                <w:rFonts/>
                <w:color w:val="262626" w:themeColor="text1" w:themeTint="D9"/>
              </w:rPr>
            </w:pPr>
            <w:r>
              <w:t>	• Ágil, con un diseño modular y escalable que soporta múltiples generaciones de CPU y que reduce costes de adquisición en hasta un 28%. [3] Además, proporciona estabilidad y flexibilidad, lo que permite a los usuarios escalar y mejorar de manera eficiente en futuras actualizaciones. Incluyen patrones que permiten una rápida puesta en marcha y configuración y que simplifican el despliegue y la gestión del ciclo de vida del sistema.</w:t>
            </w:r>
          </w:p>
          <w:p>
            <w:pPr>
              <w:ind w:left="-284" w:right="-427"/>
              <w:jc w:val="both"/>
              <w:rPr>
                <w:rFonts/>
                <w:color w:val="262626" w:themeColor="text1" w:themeTint="D9"/>
              </w:rPr>
            </w:pPr>
            <w:r>
              <w:t>	• Resistente, con características que permiten llevar aplicaciones de misión crítica a modelos de servicio en la nube. Además, permite ampliar la memoria y el almacenamiento de las máquinas virtuales para permitir la entrega de aplicaciones en modo SaaS. La capacidad de auto-reparación de las CPU y de la memoria maximizan el tiempo de actividad de las aplicaciones a través de la identificación proactiva de posibles fallos y de la toma de medidas para corregirlos. Los módulos de integración con diferentes hipervisores pueden ayudar a reducir costes y la complejidad de la administración del sistema, permitiendo realizar las tareas de gestión a través de herramientas de virtualización.</w:t>
            </w:r>
          </w:p>
          <w:p>
            <w:pPr>
              <w:ind w:left="-284" w:right="-427"/>
              <w:jc w:val="both"/>
              <w:rPr>
                <w:rFonts/>
                <w:color w:val="262626" w:themeColor="text1" w:themeTint="D9"/>
              </w:rPr>
            </w:pPr>
            <w:r>
              <w:t>	Entre los modelos de servidor compatibles con esta nueva arquitectura se incluyen:</w:t>
            </w:r>
          </w:p>
          <w:p>
            <w:pPr>
              <w:ind w:left="-284" w:right="-427"/>
              <w:jc w:val="both"/>
              <w:rPr>
                <w:rFonts/>
                <w:color w:val="262626" w:themeColor="text1" w:themeTint="D9"/>
              </w:rPr>
            </w:pPr>
            <w:r>
              <w:t>	• System x3850 X6 de 4 sockets</w:t>
            </w:r>
          </w:p>
          <w:p>
            <w:pPr>
              <w:ind w:left="-284" w:right="-427"/>
              <w:jc w:val="both"/>
              <w:rPr>
                <w:rFonts/>
                <w:color w:val="262626" w:themeColor="text1" w:themeTint="D9"/>
              </w:rPr>
            </w:pPr>
            <w:r>
              <w:t>	• System x3950 X6 de 8 sockets • Nodos informáticos escalables IBM Flex System x880</w:t>
            </w:r>
          </w:p>
          <w:p>
            <w:pPr>
              <w:ind w:left="-284" w:right="-427"/>
              <w:jc w:val="both"/>
              <w:rPr>
                <w:rFonts/>
                <w:color w:val="262626" w:themeColor="text1" w:themeTint="D9"/>
              </w:rPr>
            </w:pPr>
            <w:r>
              <w:t>	• IBM también anuncia el Servidor de almacenamiento System x3650 M4 BD, un servidor en bastidor de 2 sockets que soporta hasta 14 unidades de disco y ofrece hasta 56 terabytes de almacenamiento de alta densidad, el mayor disponible en el sector. Proporciona un 46% más de rendimiento que los servidores IBM System x similares anteriores y resulta idóneo para la escalabilidad horizontal distribuida de cargas de trabajo de información masiva o big data. [4]</w:t>
            </w:r>
          </w:p>
          <w:p>
            <w:pPr>
              <w:ind w:left="-284" w:right="-427"/>
              <w:jc w:val="both"/>
              <w:rPr>
                <w:rFonts/>
                <w:color w:val="262626" w:themeColor="text1" w:themeTint="D9"/>
              </w:rPr>
            </w:pPr>
            <w:r>
              <w:t>	Además de las siguientes soluciones para X6:</w:t>
            </w:r>
          </w:p>
          <w:p>
            <w:pPr>
              <w:ind w:left="-284" w:right="-427"/>
              <w:jc w:val="both"/>
              <w:rPr>
                <w:rFonts/>
                <w:color w:val="262626" w:themeColor="text1" w:themeTint="D9"/>
              </w:rPr>
            </w:pPr>
            <w:r>
              <w:t>	o IBM System x Solution for DB2 with BLU Acceleration en X6 para acelerar la analítica</w:t>
            </w:r>
          </w:p>
          <w:p>
            <w:pPr>
              <w:ind w:left="-284" w:right="-427"/>
              <w:jc w:val="both"/>
              <w:rPr>
                <w:rFonts/>
                <w:color w:val="262626" w:themeColor="text1" w:themeTint="D9"/>
              </w:rPr>
            </w:pPr>
            <w:r>
              <w:t>	o IBM System x Solution for SAP HANA en X6 para la analítica</w:t>
            </w:r>
          </w:p>
          <w:p>
            <w:pPr>
              <w:ind w:left="-284" w:right="-427"/>
              <w:jc w:val="both"/>
              <w:rPr>
                <w:rFonts/>
                <w:color w:val="262626" w:themeColor="text1" w:themeTint="D9"/>
              </w:rPr>
            </w:pPr>
            <w:r>
              <w:t>	o System x Solution for VMware vCloud Suite en X6 para capacidades de IaaS (Infrastructure-as-a-Service).</w:t>
            </w:r>
          </w:p>
          <w:p>
            <w:pPr>
              <w:ind w:left="-284" w:right="-427"/>
              <w:jc w:val="both"/>
              <w:rPr>
                <w:rFonts/>
                <w:color w:val="262626" w:themeColor="text1" w:themeTint="D9"/>
              </w:rPr>
            </w:pPr>
            <w:r>
              <w:t>	Novedades en almacenamiento para la nube y la analítica </w:t>
            </w:r>
          </w:p>
          <w:p>
            <w:pPr>
              <w:ind w:left="-284" w:right="-427"/>
              <w:jc w:val="both"/>
              <w:rPr>
                <w:rFonts/>
                <w:color w:val="262626" w:themeColor="text1" w:themeTint="D9"/>
              </w:rPr>
            </w:pPr>
            <w:r>
              <w:t>	IBM ha anunciado también la disponibilidad de:</w:t>
            </w:r>
          </w:p>
          <w:p>
            <w:pPr>
              <w:ind w:left="-284" w:right="-427"/>
              <w:jc w:val="both"/>
              <w:rPr>
                <w:rFonts/>
                <w:color w:val="262626" w:themeColor="text1" w:themeTint="D9"/>
              </w:rPr>
            </w:pPr>
            <w:r>
              <w:t>	• IBM FlashSystem 840: ofrece casi el doble de ancho de banda y el doble de rendimiento -1,1 millón operaciones de E/S por segundo– que su predecesor, resultando idóneo para bases de datos analíticas, infraestructuras de virtualización y nubes públicas y privadas. [5] Soporta hasta 48 terabytes de capacidad utilizable en un rack de 2U y contiene la tecnología IBM MicroLatency que reduce notablemente los tiempos de acceso a la información de milisegundos a microsegundos (menos de 135 microsegundos) proporcionando a las organizaciones información en tiempo real más rápido.</w:t>
            </w:r>
          </w:p>
          <w:p>
            <w:pPr>
              <w:ind w:left="-284" w:right="-427"/>
              <w:jc w:val="both"/>
              <w:rPr>
                <w:rFonts/>
                <w:color w:val="262626" w:themeColor="text1" w:themeTint="D9"/>
              </w:rPr>
            </w:pPr>
            <w:r>
              <w:t>	• FlashSystem Enterprise Performance Solution, que aúna FlashSystem 840 con la tecnología IBM System Storage SAN Volume Controller (SVC). La solución incluye una suite de prestaciones avanzadas de gestión de la información que van desde la compresión en tiempo real, copias instantáneas, aprovisionamiento dinámico, VAAI y copias application-aware, hasta FlashCopy y la virtualización del almacenamiento con IBM Easy Tier.</w:t>
            </w:r>
          </w:p>
          <w:p>
            <w:pPr>
              <w:ind w:left="-284" w:right="-427"/>
              <w:jc w:val="both"/>
              <w:rPr>
                <w:rFonts/>
                <w:color w:val="262626" w:themeColor="text1" w:themeTint="D9"/>
              </w:rPr>
            </w:pPr>
            <w:r>
              <w:t>	Nuevas capacidades SDE (entorno definido por el software) para la nube </w:t>
            </w:r>
          </w:p>
          <w:p>
            <w:pPr>
              <w:ind w:left="-284" w:right="-427"/>
              <w:jc w:val="both"/>
              <w:rPr>
                <w:rFonts/>
                <w:color w:val="262626" w:themeColor="text1" w:themeTint="D9"/>
              </w:rPr>
            </w:pPr>
            <w:r>
              <w:t>	Por último, IBM también ha lanzado IBM Platform Resource Scheduler para los clientes de IBM SmartCloud privada e híbrida que quieren obtener resultados con mayor rapidez, mejorar la flexibilidad de la infraestructura y reducir los costes operativos. IBM Platform Resource Scheduler ofrece una arquitectura completamente virtualizada, abierta y programable que garantiza que las empresas aprovechen todos los recursos de TI disponibles, desde las licencias de software de aplicaciones, hasta el ancho de banda de red disponible.</w:t>
            </w:r>
          </w:p>
          <w:p>
            <w:pPr>
              <w:ind w:left="-284" w:right="-427"/>
              <w:jc w:val="both"/>
              <w:rPr>
                <w:rFonts/>
                <w:color w:val="262626" w:themeColor="text1" w:themeTint="D9"/>
              </w:rPr>
            </w:pPr>
            <w:r>
              <w:t>	Integrada con OpenStack, esta herramienta de gestión de recursos dinámica permite distribuir automáticamente los recursos en función del trabajo, equilibra la demanda de la carga de trabajo con la oferta de infraestructura y garantiza el ajuste a los acuerdos de nivel de servicio, mejorando el rendimiento y la eficiencia globales de la aplicación. La arquitectura abierta y extensible también permite a las empresas reconfigurar y agregar políticas personalizadas con facilidad para cubrir sus necesidades particulares de compartir y programar.</w:t>
            </w:r>
          </w:p>
          <w:p>
            <w:pPr>
              <w:ind w:left="-284" w:right="-427"/>
              <w:jc w:val="both"/>
              <w:rPr>
                <w:rFonts/>
                <w:color w:val="262626" w:themeColor="text1" w:themeTint="D9"/>
              </w:rPr>
            </w:pPr>
            <w:r>
              <w:t>	Financiación </w:t>
            </w:r>
          </w:p>
          <w:p>
            <w:pPr>
              <w:ind w:left="-284" w:right="-427"/>
              <w:jc w:val="both"/>
              <w:rPr>
                <w:rFonts/>
                <w:color w:val="262626" w:themeColor="text1" w:themeTint="D9"/>
              </w:rPr>
            </w:pPr>
            <w:r>
              <w:t>	La financiación de IBM ayuda a los clientes con crédito positivo a adoptar rápidamente nuevas soluciones de cloud y analítica permitiéndoles reducir los costes iniciales y acelerar el retorno de la inversión. Los clientes pueden acceder a la oferta de arrendamiento a valor de mercado (Fair Market Value) al adquirir soluciones de la arquitectura X6. Otros productos anunciados incluyen una financiación al 0% y pagos aplazados a 90 días al comprar tecnología IBM PureSystems y Storage.</w:t>
            </w:r>
          </w:p>
          <w:p>
            <w:pPr>
              <w:ind w:left="-284" w:right="-427"/>
              <w:jc w:val="both"/>
              <w:rPr>
                <w:rFonts/>
                <w:color w:val="262626" w:themeColor="text1" w:themeTint="D9"/>
              </w:rPr>
            </w:pPr>
            <w:r>
              <w:t>	Las imágenes sobre el anuncio de hoy se encuentran en este enlace.</w:t>
            </w:r>
          </w:p>
          <w:p>
            <w:pPr>
              <w:ind w:left="-284" w:right="-427"/>
              <w:jc w:val="both"/>
              <w:rPr>
                <w:rFonts/>
                <w:color w:val="262626" w:themeColor="text1" w:themeTint="D9"/>
              </w:rPr>
            </w:pPr>
            <w:r>
              <w:t>	[1] Triple capacidad de memoria (hasta 6TB en sistemas 4S; hasta 12TB en sistemas 8S) y soporte hasta 24 DDR3 DIMMs por socket y una densidad hasta 64GB LRDIMM, según especificaciones publicadas por Intel, y en comparación con competidores de X86 con ofertas basadas en los actuales procesadores de Intel.</w:t>
            </w:r>
          </w:p>
          <w:p>
            <w:pPr>
              <w:ind w:left="-284" w:right="-427"/>
              <w:jc w:val="both"/>
              <w:rPr>
                <w:rFonts/>
                <w:color w:val="262626" w:themeColor="text1" w:themeTint="D9"/>
              </w:rPr>
            </w:pPr>
            <w:r>
              <w:t>	 [2] Latencia de escritura de 5-10 microsegundos para eXFlash DIMMs en pruebas preliminares frente a 15-19 microsegundos de latencia para almacenamiento PCIe basado en flash de Fusion IO, Micron y Virident; y 65 microsegundos de latencia para Intel S3500 y S3700 SSDs. (Pendiente del rendimiento final en pruebas de IBM)</w:t>
            </w:r>
          </w:p>
          <w:p>
            <w:pPr>
              <w:ind w:left="-284" w:right="-427"/>
              <w:jc w:val="both"/>
              <w:rPr>
                <w:rFonts/>
                <w:color w:val="262626" w:themeColor="text1" w:themeTint="D9"/>
              </w:rPr>
            </w:pPr>
            <w:r>
              <w:t>	 Usando almacenamiento eXFlash interno se reduce o elimina la necesidad de almacenamiento externo SAN/NAS. Menos dispositivos SAN suponen un menor número de licencias de software.</w:t>
            </w:r>
          </w:p>
          <w:p>
            <w:pPr>
              <w:ind w:left="-284" w:right="-427"/>
              <w:jc w:val="both"/>
              <w:rPr>
                <w:rFonts/>
                <w:color w:val="262626" w:themeColor="text1" w:themeTint="D9"/>
              </w:rPr>
            </w:pPr>
            <w:r>
              <w:t>	 [3] Ahorros de costes por adquisición del 28% basado en el precio de x3850 X6 anunciado el 18/2 frente al precio actual de un servidor x86 similar que incluye 2 procesadores Intel Xeon E7-4820 (v1), 1 TB de memoria (16GB RDIMMs), 3.6 TB de almacenamiento HDD y controlador de doble puerto 10GBe SFP+. X3850 X6 incluye 2 libros informáticos, 2 procesadores Intel Xeon E7, 1TB de memoria (16GB RDIMMs), 3.6TB de almacenamiento HDD y controlador de doble puerto 10GBe SFP+.</w:t>
            </w:r>
          </w:p>
          <w:p>
            <w:pPr>
              <w:ind w:left="-284" w:right="-427"/>
              <w:jc w:val="both"/>
              <w:rPr>
                <w:rFonts/>
                <w:color w:val="262626" w:themeColor="text1" w:themeTint="D9"/>
              </w:rPr>
            </w:pPr>
            <w:r>
              <w:t>	[4] Comparado con servidores de dos sockets de HP capaces de soportar un máximo de 48 TB de almacenamiento con discos de 12x3.5”, y servidores de dos sockets de Dell capaces de soportar un máximo de 51.2 TB de almacenamiento con discos de 12 x 3.5" y 2 x 2.5".</w:t>
            </w:r>
          </w:p>
          <w:p>
            <w:pPr>
              <w:ind w:left="-284" w:right="-427"/>
              <w:jc w:val="both"/>
              <w:rPr>
                <w:rFonts/>
                <w:color w:val="262626" w:themeColor="text1" w:themeTint="D9"/>
              </w:rPr>
            </w:pPr>
            <w:r>
              <w:t>	 El 46% de la cifra basada en el informe de pruebas de Intel #1310, utilizando la comparativa SPECjbb* 2013, Julio 2013.	 </w:t>
            </w:r>
          </w:p>
          <w:p>
            <w:pPr>
              <w:ind w:left="-284" w:right="-427"/>
              <w:jc w:val="both"/>
              <w:rPr>
                <w:rFonts/>
                <w:color w:val="262626" w:themeColor="text1" w:themeTint="D9"/>
              </w:rPr>
            </w:pPr>
            <w:r>
              <w:t>	[5] Los datos de rendimiento comentados se presentan como derivados de unas condiciones operativas específicas por IBM. Los resultados pueden variar.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https://www.notasdeprensa.es/ibm-presenta-la-nueva-arquitectura-x6-y_1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Informática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