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Ibercaja y Fujitsu amplían su alianza estratégica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Ibercaja y Fujitsu firman un acuerdo estratégico para impulsar la transformación digital del Banco a través de la modernización de su centro de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plan estratégico "Ahora Ibercaja", la entidad bancaria ha firmado un acuerdo con Fujitsu para transformar su data center, en base a las infraestructuras tecnológicas y el modelo operativo de prestación de servicios tecnológicos para acelerar su proceso de digitalización. Este nuevo acuerdo permitirá a Ibercaja beneficiarse de la amplia experiencia de Fujitsu en la innovación y transformación tecnológica, mediante la implementación de un modelo de gestión de excelencia que optimizará la eficiencia, seguridad y agilidad operativa de sus infraestructuras tecnológicas.</w:t>
            </w:r>
          </w:p>
          <w:p>
            <w:pPr>
              <w:ind w:left="-284" w:right="-427"/>
              <w:jc w:val="both"/>
              <w:rPr>
                <w:rFonts/>
                <w:color w:val="262626" w:themeColor="text1" w:themeTint="D9"/>
              </w:rPr>
            </w:pPr>
            <w:r>
              <w:t>El objetivo principal es evolucionar las capacidades tecnológicas basadas en centros de datos de última generación, capaces de soportar los crecientes desafíos del entorno digital, y sentar las bases para futuros avances tecnológicos en todas las áreas operativas del banco. Basándose en la experiencia global de Fujitsu en transformación tecnológica y servicios de la nube, estas capacidades permitirán a Ibercaja estar a la vanguardia en cuanto a seguridad, flexibilidad y agilidad operativa.</w:t>
            </w:r>
          </w:p>
          <w:p>
            <w:pPr>
              <w:ind w:left="-284" w:right="-427"/>
              <w:jc w:val="both"/>
              <w:rPr>
                <w:rFonts/>
                <w:color w:val="262626" w:themeColor="text1" w:themeTint="D9"/>
              </w:rPr>
            </w:pPr>
            <w:r>
              <w:t>Este nuevo y ambicioso acuerdo refuerza su histórica colaboración, basada en la incorporación de tecnologías y servicios en las áreas de IT y canales bancarios (oficinas y autoservicio), Una alianza, construida sobre una relación de confianza consolidada a lo largo de los años, también se apoya en una visión compartida de "innovar y evolucionar". Con infraestructuras y servicios de última generación, Ibercaja se asegura de que su personal se convierta en el motor de su transformación digital, mientras impulsa la eficiencia y mejora la experiencia digital de sus clientes.</w:t>
            </w:r>
          </w:p>
          <w:p>
            <w:pPr>
              <w:ind w:left="-284" w:right="-427"/>
              <w:jc w:val="both"/>
              <w:rPr>
                <w:rFonts/>
                <w:color w:val="262626" w:themeColor="text1" w:themeTint="D9"/>
              </w:rPr>
            </w:pPr>
            <w:r>
              <w:t>"Este acuerdo demuestra nuestra apuesta por la innovación, transformación y mejora continua de nuestras capacidades tecnológicas con el firme apoyo de alianzas estratégicas de largo plazo con proveedores tecnológicos de referencia   Nuestra exitosa relación de más de 40 años con Fujitsu y nuestra firme apuesta por el futuro ampliando nuestra relación reafirman esta estrategia." destaca Leandro Hermida, director de Tecnología, Resiliencia Digital y Continuidad de Ibercaja.</w:t>
            </w:r>
          </w:p>
          <w:p>
            <w:pPr>
              <w:ind w:left="-284" w:right="-427"/>
              <w:jc w:val="both"/>
              <w:rPr>
                <w:rFonts/>
                <w:color w:val="262626" w:themeColor="text1" w:themeTint="D9"/>
              </w:rPr>
            </w:pPr>
            <w:r>
              <w:t>Además, este acuerdo se desarrollará bajo estrictos criterios ESG (ambientales, sociales y de gobernanza), alineándose con los valores compartidos por ambas compañías. Con un fuerte enfoque en la creación de valor social y la gobernanza ética, esta transformación tecnológica no solo será pionera en el ámbito financiero, sino que también reforzará el compromiso de Ibercaja con la sostenibilidad y el impacto positivo en la sociedad.</w:t>
            </w:r>
          </w:p>
          <w:p>
            <w:pPr>
              <w:ind w:left="-284" w:right="-427"/>
              <w:jc w:val="both"/>
              <w:rPr>
                <w:rFonts/>
                <w:color w:val="262626" w:themeColor="text1" w:themeTint="D9"/>
              </w:rPr>
            </w:pPr>
            <w:r>
              <w:t>A través de este acuerdo, Ibercaja aspira a liderar un ecosistema de innovación y establecerse como un referente en la industria, impulsando y apoyando iniciativas tecnológicas de alto valor añadido que permitan a la entidad adaptarse a los retos del futuro y ofrecer soluciones innovadoras 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https://www.notasdeprensa.es/ibercaja-y-fujitsu-amplian-su-alianza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Aragón Software Recursos humanos Oficinas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