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IAG International Auction Group pone en marcha el portal Plataforma de subastas para microempresas, autónomos y personas físicas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Plataforma de subastas es la innovadora solución llevada a cabo por IAG para la venta de bienes, liquidaciones y subastas de activos al servicio de las micropymes, autónomos y personas físicas incursas en concurso de acreedores o que, sin estarlo, tengan la necesidad de vender activos de una forma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IAG International Auction Group, entidad especializada de referencia en la realización de subastas y la gestión de venta de activos concursales, ha puesto en marcha el portal web plataformadesubastas.com con el objetivo de facilitar la venta de bienes, liquidaciones y subastas de activos a las micropymes, autónomos y personas físicas.</w:t>
            </w:r>
          </w:p>
          <w:p>
            <w:pPr>
              <w:ind w:left="-284" w:right="-427"/>
              <w:jc w:val="both"/>
              <w:rPr>
                <w:rFonts/>
                <w:color w:val="262626" w:themeColor="text1" w:themeTint="D9"/>
              </w:rPr>
            </w:pPr>
            <w:r>
              <w:t>La Ley Concursal, en su procedimiento especial para microempresas del libro III del TRLC, deja en manos de los pequeños empresarios la propia liquidación de sus activos, cuando habiendo sido golpeados por la crisis económica acaban en un proceso concursal liquidativo. "En estos supuestos, se les exige la liquidación de los bienes a través de la plataforma electrónica prevista al efecto y complementariamente mediante entidad especializada, para ello, hemos creado esta plataforma que servirá para poder ofrecer los necesarios servicios liquidatorios, ampliando y complementando a la plataforma plabi.es, ya sea a través de subasta telemática o incluso a través de ventas directas.  Plataformadesubastas.com dará servicio a micropymes, autónomos y personas físicas para que puedan realizar sin coste alguno estas subastas y/o ventas directas. Los honorarios se satisfacen íntegramente y en todo caso por el adquirente de los bienes", explica Francesco Mortara, CEO en IAG International Auction Group.</w:t>
            </w:r>
          </w:p>
          <w:p>
            <w:pPr>
              <w:ind w:left="-284" w:right="-427"/>
              <w:jc w:val="both"/>
              <w:rPr>
                <w:rFonts/>
                <w:color w:val="262626" w:themeColor="text1" w:themeTint="D9"/>
              </w:rPr>
            </w:pPr>
            <w:r>
              <w:t>Sea cual sea el tipo de bienes, unidades productivas, maquinaria, muebles, stocks, vehículos, inmuebles, o incluso bienes intangibles como deuda, participaciones sociales, o patentes y marcas, plataformadesubastas.com pone a disposición de los empresarios, autónomos y personas físicas toda la experiencia de más de 20 años del Grupo IAG, así como el conocimiento técnico y jurídico de su personal y el importante conocimiento del mercado en el que se venden este tipo de bienes así como de inversores, que son los potenciales adquirentes de los bienes que se vayan a vender.</w:t>
            </w:r>
          </w:p>
          <w:p>
            <w:pPr>
              <w:ind w:left="-284" w:right="-427"/>
              <w:jc w:val="both"/>
              <w:rPr>
                <w:rFonts/>
                <w:color w:val="262626" w:themeColor="text1" w:themeTint="D9"/>
              </w:rPr>
            </w:pPr>
            <w:r>
              <w:t>Las estadísticas demuestran que, cuando las ventas las realiza IAG, se consigue un triple efecto beneficioso para todas las partes de los procesos: se reduce drásticamente el número de subastas desiertas, que según datos del Ministerio de Presidencia en el portal del BOE, se sitúan cerca del 50% de las celebradas; se reducen los plazos de las ejecuciones que, según datos del Consejo General del Poder Judicial, cuando existe colateral inmobiliario tienen una duración media de más de 40 meses; y, por último, se incrementan notablemente los resultados económicos del producto de las ventas, lo que redunda en beneficio tanto del ejecutado como de los ejecutantes.</w:t>
            </w:r>
          </w:p>
          <w:p>
            <w:pPr>
              <w:ind w:left="-284" w:right="-427"/>
              <w:jc w:val="both"/>
              <w:rPr>
                <w:rFonts/>
                <w:color w:val="262626" w:themeColor="text1" w:themeTint="D9"/>
              </w:rPr>
            </w:pPr>
            <w:r>
              <w:t>"La plataforma es una herramienta online fácil de utilizar y con procesos sencillos tanto para aquellos que quieren vender como para los que quieren comprar. Publicar un anuncio de venta es gratuito, solo es necesario registrarse, y será visible para miles de visitantes que buscan activos procedentes de concursos públicos", concluye Mortara.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https://www.notasdeprensa.es/iag-international-auction-group-pone-en-marcha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