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crece un 7,9% el primer semestre del año fiscal 2016, con un beneficio operativo de 3.050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Motor Co., Ltd. ha anunciado los resultados financieros consolidados del primer semestre del año fiscal 2016, que finalizó el 30 de septiembre de 2015.</w:t>
            </w:r>
          </w:p>
          <w:p>
            <w:pPr>
              <w:ind w:left="-284" w:right="-427"/>
              <w:jc w:val="both"/>
              <w:rPr>
                <w:rFonts/>
                <w:color w:val="262626" w:themeColor="text1" w:themeTint="D9"/>
              </w:rPr>
            </w:pPr>
            <w:r>
              <w:t>	La Compañía ha obtenido unos beneficios de explotación para este primer semestre (del 1 de abril al 30 de septiembre de 2015) de 3.050,9 millones de euros (404.100 millones de yenes), un incremento del 7,9% en comparación con el mismo periodo del año anterior.</w:t>
            </w:r>
          </w:p>
          <w:p>
            <w:pPr>
              <w:ind w:left="-284" w:right="-427"/>
              <w:jc w:val="both"/>
              <w:rPr>
                <w:rFonts/>
                <w:color w:val="262626" w:themeColor="text1" w:themeTint="D9"/>
              </w:rPr>
            </w:pPr>
            <w:r>
              <w:t>	La cifra es el resultado de varios factores de crecimiento, como las ventas de automóviles en Norte América y Asia, así como el impacto positivo del lanzamiento del nuevo Honda HR-V en cada región y a los esfuerzos de la empresa por reducir costes.</w:t>
            </w:r>
          </w:p>
          <w:p>
            <w:pPr>
              <w:ind w:left="-284" w:right="-427"/>
              <w:jc w:val="both"/>
              <w:rPr>
                <w:rFonts/>
                <w:color w:val="262626" w:themeColor="text1" w:themeTint="D9"/>
              </w:rPr>
            </w:pPr>
            <w:r>
              <w:t>	El crecimiento se ha producido a pesar de la existencia de diversos factores que han incrementado el gasto, como son los destinados a ventas, servicios generales y de administración que incluyen los relacionados con la mejora de la calidad.</w:t>
            </w:r>
          </w:p>
          <w:p>
            <w:pPr>
              <w:ind w:left="-284" w:right="-427"/>
              <w:jc w:val="both"/>
              <w:rPr>
                <w:rFonts/>
                <w:color w:val="262626" w:themeColor="text1" w:themeTint="D9"/>
              </w:rPr>
            </w:pPr>
            <w:r>
              <w:t>	El beneficio del período atribuible a los accionistas de la Compañía en este periodo ha sido de 2.368,4 millones de euros (313.700 millones de yenes), un 14,0% más que en el mismo periodo del año anterior.</w:t>
            </w:r>
          </w:p>
          <w:p>
            <w:pPr>
              <w:ind w:left="-284" w:right="-427"/>
              <w:jc w:val="both"/>
              <w:rPr>
                <w:rFonts/>
                <w:color w:val="262626" w:themeColor="text1" w:themeTint="D9"/>
              </w:rPr>
            </w:pPr>
            <w:r>
              <w:t>	Los beneficios de explotación para el año fiscal (del 1 de abril de 2015 al 30 de marzo de 2016) se mantienen en 5.171,7 millones de euros (685.000 millones de yenes), reflejando un aumento en las ventas de automóviles en Norte América y Asia y los efectos positivos de los esfuerzos en la reducción de costes y pese al descenso de las ventas de automóviles en Japón y a los gastos relacionados con la calidad.</w:t>
            </w:r>
          </w:p>
          <w:p>
            <w:pPr>
              <w:ind w:left="-284" w:right="-427"/>
              <w:jc w:val="both"/>
              <w:rPr>
                <w:rFonts/>
                <w:color w:val="262626" w:themeColor="text1" w:themeTint="D9"/>
              </w:rPr>
            </w:pPr>
            <w:r>
              <w:t>	En base a los efectos de la divisa, las previsiones de resultados por ventas netas anunciados con anterioridad para el año fiscal actual se han revisado al alza. Las previsiones para el beneficio neto antes de impuestos y el beneficio del período atribuible a los accionistas se mantienen sin cambios respecto a las ya anunciadas.</w:t>
            </w:r>
          </w:p>
          <w:p>
            <w:pPr>
              <w:ind w:left="-284" w:right="-427"/>
              <w:jc w:val="both"/>
              <w:rPr>
                <w:rFonts/>
                <w:color w:val="262626" w:themeColor="text1" w:themeTint="D9"/>
              </w:rPr>
            </w:pPr>
            <w:r>
              <w:t>	Los dividendos por acción generados en este primer semestre del año fiscal han sido de 22 yenes por acción, y se espera que al final del presente ejercicio, que finaliza el 31 de marzo de 2016, alcance los 88 yenes por 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https://www.notasdeprensa.es/honda-crece-un-79-el-primer-semestre-del-ano_1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